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300" w:beforeAutospacing="0" w:after="150" w:afterAutospacing="0" w:line="17" w:lineRule="atLeast"/>
        <w:rPr>
          <w:sz w:val="36"/>
          <w:szCs w:val="36"/>
        </w:rPr>
      </w:pPr>
      <w:r>
        <w:rPr>
          <w:sz w:val="36"/>
          <w:szCs w:val="36"/>
        </w:rPr>
        <w:t>移动App广告转化率预估</w:t>
      </w:r>
    </w:p>
    <w:p>
      <w:pPr>
        <w:pStyle w:val="2"/>
        <w:keepNext w:val="0"/>
        <w:keepLines w:val="0"/>
        <w:widowControl/>
        <w:suppressLineNumbers w:val="0"/>
        <w:pBdr>
          <w:left w:val="single" w:color="FF0000" w:sz="24" w:space="7"/>
        </w:pBdr>
        <w:spacing w:before="300" w:beforeAutospacing="0" w:after="300" w:afterAutospacing="0" w:line="17" w:lineRule="atLeast"/>
        <w:ind w:left="0" w:right="0"/>
        <w:rPr>
          <w:sz w:val="36"/>
          <w:szCs w:val="36"/>
        </w:rPr>
      </w:pPr>
      <w:r>
        <w:rPr>
          <w:sz w:val="36"/>
          <w:szCs w:val="36"/>
          <w:bdr w:val="single" w:color="FF0000" w:sz="24" w:space="0"/>
        </w:rPr>
        <w:t>题目描述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计算广告是互联网最重要的商业模式之一，广告投放效果通常通过曝光、点击和转化各环节来衡量，大多数广告系统受广告效果数据回流的限制只能通过曝光或点击作为投放效果的衡量标准开展优化。腾讯社交广告(</w:t>
      </w:r>
      <w:r>
        <w:rPr>
          <w:color w:val="337AB7"/>
          <w:u w:val="none"/>
          <w:bdr w:val="none" w:color="auto" w:sz="0" w:space="0"/>
        </w:rPr>
        <w:fldChar w:fldCharType="begin"/>
      </w:r>
      <w:r>
        <w:rPr>
          <w:color w:val="337AB7"/>
          <w:u w:val="none"/>
          <w:bdr w:val="none" w:color="auto" w:sz="0" w:space="0"/>
        </w:rPr>
        <w:instrText xml:space="preserve"> HYPERLINK "http://ads.tencent.com/" \t "http://algo.tpai.qq.com/home/information/_blank" </w:instrText>
      </w:r>
      <w:r>
        <w:rPr>
          <w:color w:val="337AB7"/>
          <w:u w:val="none"/>
          <w:bdr w:val="none" w:color="auto" w:sz="0" w:space="0"/>
        </w:rPr>
        <w:fldChar w:fldCharType="separate"/>
      </w:r>
      <w:r>
        <w:rPr>
          <w:rStyle w:val="6"/>
          <w:color w:val="337AB7"/>
          <w:u w:val="none"/>
          <w:bdr w:val="none" w:color="auto" w:sz="0" w:space="0"/>
        </w:rPr>
        <w:t>http://ads.tencent.com</w:t>
      </w:r>
      <w:r>
        <w:rPr>
          <w:color w:val="337AB7"/>
          <w:u w:val="none"/>
          <w:bdr w:val="none" w:color="auto" w:sz="0" w:space="0"/>
        </w:rPr>
        <w:fldChar w:fldCharType="end"/>
      </w:r>
      <w:r>
        <w:rPr>
          <w:bdr w:val="none" w:color="auto" w:sz="0" w:space="0"/>
        </w:rPr>
        <w:t>)发挥特有的用户识别和转化跟踪数据能力，帮助广告主跟踪广告投放后的转化效果，基于广告转化数据训练转化率预估模型(pCVR，Predicted Conversion Rate)，在广告排序中引入pCVR因子优化广告投放效果，提升ROI。</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本题目以移动App广告为研究对象，预测App广告点击后被激活的概率：pCVR=P(conversion=1 | Ad,User,Context)，即给定广告、用户和上下文情况下广告被点击后发生激活的概率。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before="750" w:beforeAutospacing="0" w:after="75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left w:val="single" w:color="FF0000" w:sz="24" w:space="7"/>
        </w:pBdr>
        <w:spacing w:before="300" w:beforeAutospacing="0" w:after="300" w:afterAutospacing="0" w:line="17" w:lineRule="atLeast"/>
        <w:ind w:left="0" w:right="0"/>
        <w:rPr>
          <w:sz w:val="36"/>
          <w:szCs w:val="36"/>
        </w:rPr>
      </w:pPr>
      <w:r>
        <w:rPr>
          <w:sz w:val="36"/>
          <w:szCs w:val="36"/>
          <w:bdr w:val="single" w:color="FF0000" w:sz="24" w:space="0"/>
        </w:rPr>
        <w:t>测试数据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从训练数据时段随后1天(即第31天)的广告日志中按照与训练数据同样的采样方式抽取得到，测试数据文件(test.csv)每行代表一个测试样本，各字段之间由逗号分隔，顺序依次为：“instanceID，-1，clickTime，creativeID，userID，positionID，connectionType，telecomsOperator”。其中，instanceID唯一标识一个样本，-1代表label占位使用，表示待预测。</w:t>
      </w:r>
    </w:p>
    <w:tbl>
      <w:tblPr>
        <w:tblW w:w="14999" w:type="dxa"/>
        <w:tblInd w:w="0" w:type="dxa"/>
        <w:tblBorders>
          <w:top w:val="none" w:color="auto" w:sz="0" w:space="0"/>
          <w:left w:val="none" w:color="auto" w:sz="0" w:space="0"/>
          <w:bottom w:val="single" w:color="EFF2F8"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24"/>
        <w:gridCol w:w="4875"/>
        <w:gridCol w:w="4500"/>
      </w:tblGrid>
      <w:tr>
        <w:tblPrEx>
          <w:tblBorders>
            <w:top w:val="none" w:color="auto" w:sz="0" w:space="0"/>
            <w:left w:val="none" w:color="auto" w:sz="0" w:space="0"/>
            <w:bottom w:val="single" w:color="EFF2F8"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blHeader/>
        </w:trPr>
        <w:tc>
          <w:tcPr>
            <w:tcW w:w="5624" w:type="dxa"/>
            <w:tcBorders>
              <w:bottom w:val="single" w:color="EFF2F8" w:sz="12" w:space="0"/>
              <w:right w:val="single" w:color="EFF2F8" w:sz="12" w:space="0"/>
            </w:tcBorders>
            <w:shd w:val="clear" w:color="auto" w:fill="F8F9FB"/>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文件名</w:t>
            </w:r>
          </w:p>
        </w:tc>
        <w:tc>
          <w:tcPr>
            <w:tcW w:w="4875" w:type="dxa"/>
            <w:tcBorders>
              <w:bottom w:val="single" w:color="EFF2F8" w:sz="12" w:space="0"/>
              <w:right w:val="single" w:color="EFF2F8" w:sz="12" w:space="0"/>
            </w:tcBorders>
            <w:shd w:val="clear" w:color="auto" w:fill="F8F9FB"/>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文件大小</w:t>
            </w:r>
          </w:p>
        </w:tc>
        <w:tc>
          <w:tcPr>
            <w:tcW w:w="4500" w:type="dxa"/>
            <w:tcBorders>
              <w:bottom w:val="single" w:color="EFF2F8" w:sz="12" w:space="0"/>
              <w:right w:val="nil"/>
            </w:tcBorders>
            <w:shd w:val="clear" w:color="auto" w:fill="F8F9FB"/>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24" w:type="dxa"/>
            <w:tcBorders>
              <w:bottom w:val="nil"/>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初赛数据集</w:t>
            </w:r>
          </w:p>
        </w:tc>
        <w:tc>
          <w:tcPr>
            <w:tcW w:w="4875" w:type="dxa"/>
            <w:tcBorders>
              <w:bottom w:val="nil"/>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216M</w:t>
            </w:r>
          </w:p>
        </w:tc>
        <w:tc>
          <w:tcPr>
            <w:tcW w:w="4500" w:type="dxa"/>
            <w:tcBorders>
              <w:bottom w:val="nil"/>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color w:val="FFFFFF"/>
                <w:kern w:val="0"/>
                <w:sz w:val="21"/>
                <w:szCs w:val="21"/>
                <w:u w:val="none"/>
                <w:bdr w:val="single" w:color="2E6DA4" w:sz="6" w:space="0"/>
                <w:shd w:val="clear" w:fill="0070C9"/>
                <w:lang w:val="en-US" w:eastAsia="zh-CN" w:bidi="ar"/>
              </w:rPr>
              <w:fldChar w:fldCharType="begin"/>
            </w:r>
            <w:r>
              <w:rPr>
                <w:rFonts w:ascii="宋体" w:hAnsi="宋体" w:eastAsia="宋体" w:cs="宋体"/>
                <w:color w:val="FFFFFF"/>
                <w:kern w:val="0"/>
                <w:sz w:val="21"/>
                <w:szCs w:val="21"/>
                <w:u w:val="none"/>
                <w:bdr w:val="single" w:color="2E6DA4" w:sz="6" w:space="0"/>
                <w:shd w:val="clear" w:fill="0070C9"/>
                <w:lang w:val="en-US" w:eastAsia="zh-CN" w:bidi="ar"/>
              </w:rPr>
              <w:instrText xml:space="preserve"> HYPERLINK "http://spabigdata-1253211098.file.myqcloud.com/pre.zip" \t "http://algo.tpai.qq.com/home/information/_blank" </w:instrText>
            </w:r>
            <w:r>
              <w:rPr>
                <w:rFonts w:ascii="宋体" w:hAnsi="宋体" w:eastAsia="宋体" w:cs="宋体"/>
                <w:color w:val="FFFFFF"/>
                <w:kern w:val="0"/>
                <w:sz w:val="21"/>
                <w:szCs w:val="21"/>
                <w:u w:val="none"/>
                <w:bdr w:val="single" w:color="2E6DA4" w:sz="6" w:space="0"/>
                <w:shd w:val="clear" w:fill="0070C9"/>
                <w:lang w:val="en-US" w:eastAsia="zh-CN" w:bidi="ar"/>
              </w:rPr>
              <w:fldChar w:fldCharType="separate"/>
            </w:r>
            <w:r>
              <w:rPr>
                <w:rStyle w:val="6"/>
                <w:rFonts w:ascii="宋体" w:hAnsi="宋体" w:eastAsia="宋体" w:cs="宋体"/>
                <w:color w:val="FFFFFF"/>
                <w:sz w:val="21"/>
                <w:szCs w:val="21"/>
                <w:u w:val="none"/>
                <w:bdr w:val="single" w:color="2E6DA4" w:sz="6" w:space="0"/>
                <w:shd w:val="clear" w:fill="0070C9"/>
              </w:rPr>
              <w:t>下载数据</w:t>
            </w:r>
            <w:r>
              <w:rPr>
                <w:rFonts w:ascii="宋体" w:hAnsi="宋体" w:eastAsia="宋体" w:cs="宋体"/>
                <w:color w:val="FFFFFF"/>
                <w:kern w:val="0"/>
                <w:sz w:val="21"/>
                <w:szCs w:val="21"/>
                <w:u w:val="none"/>
                <w:bdr w:val="single" w:color="2E6DA4" w:sz="6" w:space="0"/>
                <w:shd w:val="clear" w:fill="0070C9"/>
                <w:lang w:val="en-US" w:eastAsia="zh-CN" w:bidi="ar"/>
              </w:rPr>
              <w:fldChar w:fldCharType="end"/>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before="750" w:beforeAutospacing="0" w:after="750" w:afterAutospacing="0"/>
        <w:ind w:left="0" w:right="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left w:val="single" w:color="FF0000" w:sz="24" w:space="7"/>
        </w:pBdr>
        <w:spacing w:before="300" w:beforeAutospacing="0" w:after="300" w:afterAutospacing="0" w:line="17" w:lineRule="atLeast"/>
        <w:ind w:left="0" w:right="0"/>
        <w:rPr>
          <w:sz w:val="36"/>
          <w:szCs w:val="36"/>
        </w:rPr>
      </w:pPr>
      <w:r>
        <w:rPr>
          <w:sz w:val="36"/>
          <w:szCs w:val="36"/>
          <w:bdr w:val="single" w:color="FF0000" w:sz="24" w:space="0"/>
        </w:rPr>
        <w:t>训练数据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从腾讯社交广告系统中某一连续两周的日志中按照推广中的App和用户维度随机采样。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每一条训练样本即为一条广告点击日志(点击时间用clickTime表示)，样本label取值0或1，其中0表示点击后没有发生转化，1表示点击后有发生转化，如果label为1，还会提供转化回流时间(conversionTime，定义详见“补充说明”)。给定特征集如下：</w:t>
      </w:r>
    </w:p>
    <w:tbl>
      <w:tblPr>
        <w:tblW w:w="8304" w:type="dxa"/>
        <w:tblInd w:w="0" w:type="dxa"/>
        <w:tblBorders>
          <w:top w:val="none" w:color="auto" w:sz="0" w:space="0"/>
          <w:left w:val="none" w:color="auto" w:sz="0" w:space="0"/>
          <w:bottom w:val="single" w:color="EFF2F8" w:sz="12"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85"/>
        <w:gridCol w:w="3014"/>
        <w:gridCol w:w="3705"/>
      </w:tblGrid>
      <w:tr>
        <w:tblPrEx>
          <w:tblBorders>
            <w:top w:val="none" w:color="auto" w:sz="0" w:space="0"/>
            <w:left w:val="none" w:color="auto" w:sz="0" w:space="0"/>
            <w:bottom w:val="single" w:color="EFF2F8"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blHeader/>
        </w:trPr>
        <w:tc>
          <w:tcPr>
            <w:tcW w:w="1585" w:type="dxa"/>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特征</w:t>
            </w:r>
          </w:p>
        </w:tc>
        <w:tc>
          <w:tcPr>
            <w:tcW w:w="3014" w:type="dxa"/>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分类</w:t>
            </w:r>
          </w:p>
        </w:tc>
        <w:tc>
          <w:tcPr>
            <w:tcW w:w="3705" w:type="dxa"/>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restart"/>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广告特征</w:t>
            </w: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账户ID(</w:t>
            </w:r>
            <w:r>
              <w:rPr>
                <w:rFonts w:ascii="宋体" w:hAnsi="宋体" w:eastAsia="宋体" w:cs="宋体"/>
                <w:i/>
                <w:kern w:val="0"/>
                <w:sz w:val="24"/>
                <w:szCs w:val="24"/>
                <w:bdr w:val="none" w:color="auto" w:sz="0" w:space="0"/>
                <w:lang w:val="en-US" w:eastAsia="zh-CN" w:bidi="ar"/>
              </w:rPr>
              <w:t>advertiserID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腾讯社交广告的账户结构分为四级：账户——推广计划——广告——素材，账户对应一家特定的广告主。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推广计划ID(</w:t>
            </w:r>
            <w:r>
              <w:rPr>
                <w:rFonts w:ascii="宋体" w:hAnsi="宋体" w:eastAsia="宋体" w:cs="宋体"/>
                <w:i/>
                <w:kern w:val="0"/>
                <w:sz w:val="24"/>
                <w:szCs w:val="24"/>
                <w:bdr w:val="none" w:color="auto" w:sz="0" w:space="0"/>
                <w:lang w:val="en-US" w:eastAsia="zh-CN" w:bidi="ar"/>
              </w:rPr>
              <w:t>campaignID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推广计划是广告的集合，类似电脑文件夹功能。广告主可以将推广平台、预算限额、是否匀速投放等条件相同的广告放在同一个推广计划中，方便管理。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广告ID(</w:t>
            </w:r>
            <w:r>
              <w:rPr>
                <w:rFonts w:ascii="宋体" w:hAnsi="宋体" w:eastAsia="宋体" w:cs="宋体"/>
                <w:i/>
                <w:kern w:val="0"/>
                <w:sz w:val="24"/>
                <w:szCs w:val="24"/>
                <w:bdr w:val="none" w:color="auto" w:sz="0" w:space="0"/>
                <w:lang w:val="en-US" w:eastAsia="zh-CN" w:bidi="ar"/>
              </w:rPr>
              <w:t>adID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腾讯社交广告管理平台中的广告是指广告主创建的广告创意(或称广告素材)及广告展示相关设置，包含广告的基本信息(广告名称，投放时间等)，广告的推广目标，投放平台，投放的广告规格，所投放的广告创意，广告的受众(即广告的定向设置)，广告出价等信息。单个推广计划下的广告数不设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素材ID(</w:t>
            </w:r>
            <w:r>
              <w:rPr>
                <w:rFonts w:ascii="宋体" w:hAnsi="宋体" w:eastAsia="宋体" w:cs="宋体"/>
                <w:i/>
                <w:kern w:val="0"/>
                <w:sz w:val="24"/>
                <w:szCs w:val="24"/>
                <w:bdr w:val="none" w:color="auto" w:sz="0" w:space="0"/>
                <w:lang w:val="en-US" w:eastAsia="zh-CN" w:bidi="ar"/>
              </w:rPr>
              <w:t>creativeID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展示给用户直接看到的广告内容，一条广告下可以有多组素材。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AppID(</w:t>
            </w:r>
            <w:r>
              <w:rPr>
                <w:rFonts w:ascii="宋体" w:hAnsi="宋体" w:eastAsia="宋体" w:cs="宋体"/>
                <w:i/>
                <w:kern w:val="0"/>
                <w:sz w:val="24"/>
                <w:szCs w:val="24"/>
                <w:bdr w:val="none" w:color="auto" w:sz="0" w:space="0"/>
                <w:lang w:val="en-US" w:eastAsia="zh-CN" w:bidi="ar"/>
              </w:rPr>
              <w:t>appID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广告推广的目标页面链接地址，即点击后想要展示给用户的页面，此处页面特指具体的App。多个推广计划或广告可以同时推广同一个App。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App分类(</w:t>
            </w:r>
            <w:r>
              <w:rPr>
                <w:rFonts w:ascii="宋体" w:hAnsi="宋体" w:eastAsia="宋体" w:cs="宋体"/>
                <w:i/>
                <w:kern w:val="0"/>
                <w:sz w:val="24"/>
                <w:szCs w:val="24"/>
                <w:bdr w:val="none" w:color="auto" w:sz="0" w:space="0"/>
                <w:lang w:val="en-US" w:eastAsia="zh-CN" w:bidi="ar"/>
              </w:rPr>
              <w:t>appCategory</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App开发者设定的App类目标签，类目标签有两层，使用3位数字编码，百位数表示一级类目，十位个位数表示二级类目，如“210”表示一级类目编号为2，二级类目编号为10，类目未知或者无法获取时，标记为0。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App平台(</w:t>
            </w:r>
            <w:r>
              <w:rPr>
                <w:rFonts w:ascii="宋体" w:hAnsi="宋体" w:eastAsia="宋体" w:cs="宋体"/>
                <w:i/>
                <w:kern w:val="0"/>
                <w:sz w:val="24"/>
                <w:szCs w:val="24"/>
                <w:bdr w:val="none" w:color="auto" w:sz="0" w:space="0"/>
                <w:lang w:val="en-US" w:eastAsia="zh-CN" w:bidi="ar"/>
              </w:rPr>
              <w:t>appPlatform</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App所属操作系统平台，取值为Android，iOS，未知。同一个appID只会属于一个平台。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restart"/>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用户特征</w:t>
            </w: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用户ID(</w:t>
            </w:r>
            <w:r>
              <w:rPr>
                <w:rFonts w:ascii="宋体" w:hAnsi="宋体" w:eastAsia="宋体" w:cs="宋体"/>
                <w:i/>
                <w:kern w:val="0"/>
                <w:sz w:val="24"/>
                <w:szCs w:val="24"/>
                <w:bdr w:val="none" w:color="auto" w:sz="0" w:space="0"/>
                <w:lang w:val="en-US" w:eastAsia="zh-CN" w:bidi="ar"/>
              </w:rPr>
              <w:t>userID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唯一标识一个用户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年龄(</w:t>
            </w:r>
            <w:r>
              <w:rPr>
                <w:rFonts w:ascii="宋体" w:hAnsi="宋体" w:eastAsia="宋体" w:cs="宋体"/>
                <w:i/>
                <w:kern w:val="0"/>
                <w:sz w:val="24"/>
                <w:szCs w:val="24"/>
                <w:bdr w:val="none" w:color="auto" w:sz="0" w:space="0"/>
                <w:lang w:val="en-US" w:eastAsia="zh-CN" w:bidi="ar"/>
              </w:rPr>
              <w:t>age</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取值范围[0, 80]，其中0表示未知。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性别(</w:t>
            </w:r>
            <w:r>
              <w:rPr>
                <w:rFonts w:ascii="宋体" w:hAnsi="宋体" w:eastAsia="宋体" w:cs="宋体"/>
                <w:i/>
                <w:kern w:val="0"/>
                <w:sz w:val="24"/>
                <w:szCs w:val="24"/>
                <w:bdr w:val="none" w:color="auto" w:sz="0" w:space="0"/>
                <w:lang w:val="en-US" w:eastAsia="zh-CN" w:bidi="ar"/>
              </w:rPr>
              <w:t>gender</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取值包括男，女，未知。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学历(</w:t>
            </w:r>
            <w:r>
              <w:rPr>
                <w:rFonts w:ascii="宋体" w:hAnsi="宋体" w:eastAsia="宋体" w:cs="宋体"/>
                <w:i/>
                <w:kern w:val="0"/>
                <w:sz w:val="24"/>
                <w:szCs w:val="24"/>
                <w:bdr w:val="none" w:color="auto" w:sz="0" w:space="0"/>
                <w:lang w:val="en-US" w:eastAsia="zh-CN" w:bidi="ar"/>
              </w:rPr>
              <w:t>education</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用户当前最高学历，不区分在读生和毕业生，取值包括小学，初中，高中，专科，本科，硕士，博士，未知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婚恋状态(</w:t>
            </w:r>
            <w:r>
              <w:rPr>
                <w:rFonts w:ascii="宋体" w:hAnsi="宋体" w:eastAsia="宋体" w:cs="宋体"/>
                <w:i/>
                <w:kern w:val="0"/>
                <w:sz w:val="24"/>
                <w:szCs w:val="24"/>
                <w:bdr w:val="none" w:color="auto" w:sz="0" w:space="0"/>
                <w:lang w:val="en-US" w:eastAsia="zh-CN" w:bidi="ar"/>
              </w:rPr>
              <w:t>marriageStatus</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用户当前感情状况，取值包括单身，新婚，已婚，未知。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育儿状态(</w:t>
            </w:r>
            <w:r>
              <w:rPr>
                <w:rFonts w:ascii="宋体" w:hAnsi="宋体" w:eastAsia="宋体" w:cs="宋体"/>
                <w:i/>
                <w:kern w:val="0"/>
                <w:sz w:val="24"/>
                <w:szCs w:val="24"/>
                <w:bdr w:val="none" w:color="auto" w:sz="0" w:space="0"/>
                <w:lang w:val="en-US" w:eastAsia="zh-CN" w:bidi="ar"/>
              </w:rPr>
              <w:t>haveBaby</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用户当前孕育宝宝状态，取值包括孕育中，宝宝0~6个月，宝宝6~12个月，宝宝1~2岁，宝宝2~3岁，育儿但宝宝年龄未知，未知。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家乡/籍贯(</w:t>
            </w:r>
            <w:r>
              <w:rPr>
                <w:rFonts w:ascii="宋体" w:hAnsi="宋体" w:eastAsia="宋体" w:cs="宋体"/>
                <w:i/>
                <w:kern w:val="0"/>
                <w:sz w:val="24"/>
                <w:szCs w:val="24"/>
                <w:bdr w:val="none" w:color="auto" w:sz="0" w:space="0"/>
                <w:lang w:val="en-US" w:eastAsia="zh-CN" w:bidi="ar"/>
              </w:rPr>
              <w:t>hometown</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用户出生地，取值具体到市级城市，使用二级编码，千位百位数表示省份，十位个位数表示省内城市，如1806表示省份编号为18，城市编号是省内的6号，编号0表示未知。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常住地(</w:t>
            </w:r>
            <w:r>
              <w:rPr>
                <w:rFonts w:ascii="宋体" w:hAnsi="宋体" w:eastAsia="宋体" w:cs="宋体"/>
                <w:i/>
                <w:kern w:val="0"/>
                <w:sz w:val="24"/>
                <w:szCs w:val="24"/>
                <w:bdr w:val="none" w:color="auto" w:sz="0" w:space="0"/>
                <w:lang w:val="en-US" w:eastAsia="zh-CN" w:bidi="ar"/>
              </w:rPr>
              <w:t>residence</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最近一段时间用户长期居住的地方，取值具体到市级城市，编码方式与家乡相同。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App安装列表(</w:t>
            </w:r>
            <w:r>
              <w:rPr>
                <w:rFonts w:ascii="宋体" w:hAnsi="宋体" w:eastAsia="宋体" w:cs="宋体"/>
                <w:i/>
                <w:kern w:val="0"/>
                <w:sz w:val="24"/>
                <w:szCs w:val="24"/>
                <w:bdr w:val="none" w:color="auto" w:sz="0" w:space="0"/>
                <w:lang w:val="en-US" w:eastAsia="zh-CN" w:bidi="ar"/>
              </w:rPr>
              <w:t>appInstallList</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截止到某一时间点用户全部的App安装列表(appID)，已过滤高频和低频App。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App安装流水</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最近一段时间内用户安装App行为流水，包括appID，行为发生时间(installTime)和app类别(appCategory)，已过滤高频和低频App。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5" w:type="dxa"/>
            <w:vMerge w:val="continue"/>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6719" w:type="dxa"/>
            <w:gridSpan w:val="2"/>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rPr>
                <w:color w:val="808080"/>
              </w:rPr>
            </w:pPr>
            <w:r>
              <w:rPr>
                <w:rFonts w:ascii="宋体" w:hAnsi="宋体" w:eastAsia="宋体" w:cs="宋体"/>
                <w:color w:val="808080"/>
                <w:kern w:val="0"/>
                <w:sz w:val="24"/>
                <w:szCs w:val="24"/>
                <w:bdr w:val="none" w:color="auto" w:sz="0" w:space="0"/>
                <w:lang w:val="en-US" w:eastAsia="zh-CN" w:bidi="ar"/>
              </w:rPr>
              <w:t>注：2~8基于用户个人注册资料和算法自动修正得到，9~10基于用户行为日志统计得到。</w:t>
            </w:r>
          </w:p>
        </w:tc>
      </w:tr>
      <w:tr>
        <w:tblPrEx>
          <w:tblBorders>
            <w:top w:val="single" w:color="EFF2F8" w:sz="12"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restart"/>
            <w:tcBorders>
              <w:bottom w:val="nil"/>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上下文特征</w:t>
            </w: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广告位ID(</w:t>
            </w:r>
            <w:r>
              <w:rPr>
                <w:rFonts w:ascii="宋体" w:hAnsi="宋体" w:eastAsia="宋体" w:cs="宋体"/>
                <w:i/>
                <w:kern w:val="0"/>
                <w:sz w:val="24"/>
                <w:szCs w:val="24"/>
                <w:bdr w:val="none" w:color="auto" w:sz="0" w:space="0"/>
                <w:lang w:val="en-US" w:eastAsia="zh-CN" w:bidi="ar"/>
              </w:rPr>
              <w:t>positionID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广告曝光的具体位置，如QQ空间Feeds广告位。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5" w:type="dxa"/>
            <w:vMerge w:val="continue"/>
            <w:tcBorders>
              <w:bottom w:val="nil"/>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站点集合ID(</w:t>
            </w:r>
            <w:r>
              <w:rPr>
                <w:rFonts w:ascii="宋体" w:hAnsi="宋体" w:eastAsia="宋体" w:cs="宋体"/>
                <w:i/>
                <w:kern w:val="0"/>
                <w:sz w:val="24"/>
                <w:szCs w:val="24"/>
                <w:bdr w:val="none" w:color="auto" w:sz="0" w:space="0"/>
                <w:lang w:val="en-US" w:eastAsia="zh-CN" w:bidi="ar"/>
              </w:rPr>
              <w:t>sitesetID</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多个广告位的聚合，如QQ空间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5" w:type="dxa"/>
            <w:vMerge w:val="continue"/>
            <w:tcBorders>
              <w:bottom w:val="nil"/>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广告位类型(</w:t>
            </w:r>
            <w:r>
              <w:rPr>
                <w:rFonts w:ascii="宋体" w:hAnsi="宋体" w:eastAsia="宋体" w:cs="宋体"/>
                <w:i/>
                <w:kern w:val="0"/>
                <w:sz w:val="24"/>
                <w:szCs w:val="24"/>
                <w:bdr w:val="none" w:color="auto" w:sz="0" w:space="0"/>
                <w:lang w:val="en-US" w:eastAsia="zh-CN" w:bidi="ar"/>
              </w:rPr>
              <w:t>positionType</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对于某些站点，人工定义的一套广告位规格分类，如Banner广告位。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85" w:type="dxa"/>
            <w:vMerge w:val="continue"/>
            <w:tcBorders>
              <w:bottom w:val="nil"/>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联网方式(</w:t>
            </w:r>
            <w:r>
              <w:rPr>
                <w:rFonts w:ascii="宋体" w:hAnsi="宋体" w:eastAsia="宋体" w:cs="宋体"/>
                <w:i/>
                <w:kern w:val="0"/>
                <w:sz w:val="24"/>
                <w:szCs w:val="24"/>
                <w:bdr w:val="none" w:color="auto" w:sz="0" w:space="0"/>
                <w:lang w:val="en-US" w:eastAsia="zh-CN" w:bidi="ar"/>
              </w:rPr>
              <w:t>connectionType</w:t>
            </w:r>
            <w:r>
              <w:rPr>
                <w:rFonts w:ascii="宋体" w:hAnsi="宋体" w:eastAsia="宋体" w:cs="宋体"/>
                <w:kern w:val="0"/>
                <w:sz w:val="24"/>
                <w:szCs w:val="24"/>
                <w:bdr w:val="none" w:color="auto" w:sz="0" w:space="0"/>
                <w:lang w:val="en-US" w:eastAsia="zh-CN" w:bidi="ar"/>
              </w:rPr>
              <w:t>)</w:t>
            </w:r>
          </w:p>
        </w:tc>
        <w:tc>
          <w:tcPr>
            <w:tcW w:w="3705"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移动设备当前使用的联网方式，取值包括2G，3G，4G，WIFI，未知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85" w:type="dxa"/>
            <w:vMerge w:val="continue"/>
            <w:tcBorders>
              <w:bottom w:val="nil"/>
              <w:right w:val="single" w:color="EFF2F8" w:sz="12" w:space="0"/>
            </w:tcBorders>
            <w:shd w:val="clear" w:color="auto" w:fill="FFFFFF"/>
            <w:tcMar>
              <w:top w:w="150" w:type="dxa"/>
              <w:left w:w="300" w:type="dxa"/>
              <w:bottom w:w="150" w:type="dxa"/>
              <w:right w:w="300" w:type="dxa"/>
            </w:tcMar>
            <w:vAlign w:val="center"/>
          </w:tcPr>
          <w:p>
            <w:pPr>
              <w:jc w:val="center"/>
              <w:rPr>
                <w:rFonts w:hint="eastAsia" w:ascii="宋体"/>
                <w:sz w:val="24"/>
                <w:szCs w:val="24"/>
              </w:rPr>
            </w:pPr>
          </w:p>
        </w:tc>
        <w:tc>
          <w:tcPr>
            <w:tcW w:w="3014" w:type="dxa"/>
            <w:tcBorders>
              <w:bottom w:val="nil"/>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运营商(</w:t>
            </w:r>
            <w:r>
              <w:rPr>
                <w:rFonts w:ascii="宋体" w:hAnsi="宋体" w:eastAsia="宋体" w:cs="宋体"/>
                <w:i/>
                <w:kern w:val="0"/>
                <w:sz w:val="24"/>
                <w:szCs w:val="24"/>
                <w:bdr w:val="none" w:color="auto" w:sz="0" w:space="0"/>
                <w:lang w:val="en-US" w:eastAsia="zh-CN" w:bidi="ar"/>
              </w:rPr>
              <w:t>telecomsOperator</w:t>
            </w:r>
            <w:r>
              <w:rPr>
                <w:rFonts w:ascii="宋体" w:hAnsi="宋体" w:eastAsia="宋体" w:cs="宋体"/>
                <w:kern w:val="0"/>
                <w:sz w:val="24"/>
                <w:szCs w:val="24"/>
                <w:bdr w:val="none" w:color="auto" w:sz="0" w:space="0"/>
                <w:lang w:val="en-US" w:eastAsia="zh-CN" w:bidi="ar"/>
              </w:rPr>
              <w:t>)</w:t>
            </w:r>
          </w:p>
        </w:tc>
        <w:tc>
          <w:tcPr>
            <w:tcW w:w="3705" w:type="dxa"/>
            <w:tcBorders>
              <w:bottom w:val="nil"/>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移动设备当前使用的运营商，取值包括中国移动，中国联通，中国电信，未知</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特别的，出于数据安全的考虑，对于userID，appID，特征，以及时间字段，我们不提供原始数据，按照如下方式加密处理：</w:t>
      </w: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2"/>
        <w:gridCol w:w="6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blHeader/>
        </w:trPr>
        <w:tc>
          <w:tcPr>
            <w:tcW w:w="1322" w:type="dxa"/>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字段</w:t>
            </w:r>
          </w:p>
        </w:tc>
        <w:tc>
          <w:tcPr>
            <w:tcW w:w="6984" w:type="dxa"/>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解释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2"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userID</w:t>
            </w:r>
          </w:p>
        </w:tc>
        <w:tc>
          <w:tcPr>
            <w:tcW w:w="698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对每个用户ID，随机生成一个不重复的userID(假设用户数为100w，将所有用户随机打散排列，将其序号作为userID，取值范围是[1, 100w])，使用加密后的userID作为用户标识。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2"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appID</w:t>
            </w:r>
          </w:p>
        </w:tc>
        <w:tc>
          <w:tcPr>
            <w:tcW w:w="698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参考用户ID的加密方式，生成加密后的appID。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2"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特征</w:t>
            </w:r>
          </w:p>
        </w:tc>
        <w:tc>
          <w:tcPr>
            <w:tcW w:w="698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参考用户ID的加密方式，生成加密后的特征ID。特别的，我们使用“0”表示特征值未知。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2" w:type="dxa"/>
            <w:tcBorders>
              <w:bottom w:val="nil"/>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时间</w:t>
            </w:r>
          </w:p>
        </w:tc>
        <w:tc>
          <w:tcPr>
            <w:tcW w:w="6984" w:type="dxa"/>
            <w:tcBorders>
              <w:bottom w:val="nil"/>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包括 clickTime，conversionTime，installTime，格式均为DDHHMM，其中DD代表第几天，HH代表小时，MM代表分钟。</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ind w:left="0" w:right="0"/>
        <w:jc w:val="left"/>
        <w:rPr>
          <w:b/>
          <w:sz w:val="24"/>
          <w:szCs w:val="24"/>
        </w:rPr>
      </w:pPr>
      <w:r>
        <w:rPr>
          <w:rFonts w:ascii="宋体" w:hAnsi="宋体" w:eastAsia="宋体" w:cs="宋体"/>
          <w:b/>
          <w:kern w:val="0"/>
          <w:sz w:val="24"/>
          <w:szCs w:val="24"/>
          <w:bdr w:val="none" w:color="auto" w:sz="0" w:space="0"/>
          <w:lang w:val="en-US" w:eastAsia="zh-CN" w:bidi="ar"/>
        </w:rPr>
        <w:t>训练数据文件(train.csv)</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每行代表一个训练样本，各字段之间由逗号分隔，顺序依次为：“label，clickTime，conversionTime，creativeID，userID，positionID，connectionType，telecomsOperator”。当label=0时，conversionTime字段为空字符串。特别的，训练数据时间范围为第17天0点到第31天0点(定义详见下面的“补充说明”)。为了节省存储空间，用户、App、广告和广告位相关信息以独立文件提供(训练数据和测试数据共用)，具体如下：</w:t>
      </w:r>
    </w:p>
    <w:tbl>
      <w:tblPr>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11"/>
        <w:gridCol w:w="45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blHeader/>
        </w:trPr>
        <w:tc>
          <w:tcPr>
            <w:tcW w:w="3711" w:type="dxa"/>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文件类型</w:t>
            </w:r>
          </w:p>
        </w:tc>
        <w:tc>
          <w:tcPr>
            <w:tcW w:w="4594" w:type="dxa"/>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1"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用户基础特征文件(</w:t>
            </w:r>
            <w:r>
              <w:rPr>
                <w:rFonts w:ascii="宋体" w:hAnsi="宋体" w:eastAsia="宋体" w:cs="宋体"/>
                <w:i/>
                <w:kern w:val="0"/>
                <w:sz w:val="24"/>
                <w:szCs w:val="24"/>
                <w:bdr w:val="none" w:color="auto" w:sz="0" w:space="0"/>
                <w:lang w:val="en-US" w:eastAsia="zh-CN" w:bidi="ar"/>
              </w:rPr>
              <w:t>user.csv</w:t>
            </w:r>
            <w:r>
              <w:rPr>
                <w:rFonts w:ascii="宋体" w:hAnsi="宋体" w:eastAsia="宋体" w:cs="宋体"/>
                <w:kern w:val="0"/>
                <w:sz w:val="24"/>
                <w:szCs w:val="24"/>
                <w:bdr w:val="none" w:color="auto" w:sz="0" w:space="0"/>
                <w:lang w:val="en-US" w:eastAsia="zh-CN" w:bidi="ar"/>
              </w:rPr>
              <w:t>)</w:t>
            </w:r>
          </w:p>
        </w:tc>
        <w:tc>
          <w:tcPr>
            <w:tcW w:w="459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每行代表一个用户，各字段之间由逗号分隔，顺序依次为：“userID，age，gender，education，marriageStatus，haveBaby，hometown，residence”。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11"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用户App安装列表文件(</w:t>
            </w:r>
            <w:r>
              <w:rPr>
                <w:rFonts w:ascii="宋体" w:hAnsi="宋体" w:eastAsia="宋体" w:cs="宋体"/>
                <w:i/>
                <w:kern w:val="0"/>
                <w:sz w:val="24"/>
                <w:szCs w:val="24"/>
                <w:bdr w:val="none" w:color="auto" w:sz="0" w:space="0"/>
                <w:lang w:val="en-US" w:eastAsia="zh-CN" w:bidi="ar"/>
              </w:rPr>
              <w:t>user_installedapps.csv</w:t>
            </w:r>
            <w:r>
              <w:rPr>
                <w:rFonts w:ascii="宋体" w:hAnsi="宋体" w:eastAsia="宋体" w:cs="宋体"/>
                <w:kern w:val="0"/>
                <w:sz w:val="24"/>
                <w:szCs w:val="24"/>
                <w:bdr w:val="none" w:color="auto" w:sz="0" w:space="0"/>
                <w:lang w:val="en-US" w:eastAsia="zh-CN" w:bidi="ar"/>
              </w:rPr>
              <w:t>)</w:t>
            </w:r>
          </w:p>
        </w:tc>
        <w:tc>
          <w:tcPr>
            <w:tcW w:w="459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每行代表一个用户安装的单个App，各字段之间由逗号分隔，顺序依次为：“userID，appID”。特别的，我们提供了截止到第1天0点用户全部的App安装列表。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1"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用户App安装流水文件(</w:t>
            </w:r>
            <w:r>
              <w:rPr>
                <w:rFonts w:ascii="宋体" w:hAnsi="宋体" w:eastAsia="宋体" w:cs="宋体"/>
                <w:i/>
                <w:kern w:val="0"/>
                <w:sz w:val="24"/>
                <w:szCs w:val="24"/>
                <w:bdr w:val="none" w:color="auto" w:sz="0" w:space="0"/>
                <w:lang w:val="en-US" w:eastAsia="zh-CN" w:bidi="ar"/>
              </w:rPr>
              <w:t>user_app_actions.csv</w:t>
            </w:r>
            <w:r>
              <w:rPr>
                <w:rFonts w:ascii="宋体" w:hAnsi="宋体" w:eastAsia="宋体" w:cs="宋体"/>
                <w:kern w:val="0"/>
                <w:sz w:val="24"/>
                <w:szCs w:val="24"/>
                <w:bdr w:val="none" w:color="auto" w:sz="0" w:space="0"/>
                <w:lang w:val="en-US" w:eastAsia="zh-CN" w:bidi="ar"/>
              </w:rPr>
              <w:t>)</w:t>
            </w:r>
          </w:p>
        </w:tc>
        <w:tc>
          <w:tcPr>
            <w:tcW w:w="459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每行代表一个用户的单个App操作流水，各字段之间由逗号分隔，顺序依次为：“userID，installTime，appID”。特别的，我们提供了训练数据开始时间之前16天开始连续30天的操作流水，即第1天0点到第31天0点。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1"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App特征文件(</w:t>
            </w:r>
            <w:r>
              <w:rPr>
                <w:rFonts w:ascii="宋体" w:hAnsi="宋体" w:eastAsia="宋体" w:cs="宋体"/>
                <w:i/>
                <w:kern w:val="0"/>
                <w:sz w:val="24"/>
                <w:szCs w:val="24"/>
                <w:bdr w:val="none" w:color="auto" w:sz="0" w:space="0"/>
                <w:lang w:val="en-US" w:eastAsia="zh-CN" w:bidi="ar"/>
              </w:rPr>
              <w:t>app_categories.csv</w:t>
            </w:r>
            <w:r>
              <w:rPr>
                <w:rFonts w:ascii="宋体" w:hAnsi="宋体" w:eastAsia="宋体" w:cs="宋体"/>
                <w:kern w:val="0"/>
                <w:sz w:val="24"/>
                <w:szCs w:val="24"/>
                <w:bdr w:val="none" w:color="auto" w:sz="0" w:space="0"/>
                <w:lang w:val="en-US" w:eastAsia="zh-CN" w:bidi="ar"/>
              </w:rPr>
              <w:t>)</w:t>
            </w:r>
          </w:p>
        </w:tc>
        <w:tc>
          <w:tcPr>
            <w:tcW w:w="459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每行代表一个App，各字段之间由逗号分隔，顺序依次为：“appID，appCategory”。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1"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广告特征文件(</w:t>
            </w:r>
            <w:r>
              <w:rPr>
                <w:rFonts w:ascii="宋体" w:hAnsi="宋体" w:eastAsia="宋体" w:cs="宋体"/>
                <w:i/>
                <w:kern w:val="0"/>
                <w:sz w:val="24"/>
                <w:szCs w:val="24"/>
                <w:bdr w:val="none" w:color="auto" w:sz="0" w:space="0"/>
                <w:lang w:val="en-US" w:eastAsia="zh-CN" w:bidi="ar"/>
              </w:rPr>
              <w:t>ad.csv</w:t>
            </w:r>
            <w:r>
              <w:rPr>
                <w:rFonts w:ascii="宋体" w:hAnsi="宋体" w:eastAsia="宋体" w:cs="宋体"/>
                <w:kern w:val="0"/>
                <w:sz w:val="24"/>
                <w:szCs w:val="24"/>
                <w:bdr w:val="none" w:color="auto" w:sz="0" w:space="0"/>
                <w:lang w:val="en-US" w:eastAsia="zh-CN" w:bidi="ar"/>
              </w:rPr>
              <w:t>)</w:t>
            </w:r>
          </w:p>
        </w:tc>
        <w:tc>
          <w:tcPr>
            <w:tcW w:w="459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每行描述一条广告素材，各字段之间由逗号分隔，顺序依次为“creativeID，adID，camgaignID，advertiserID，appID，appPlatform”。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11" w:type="dxa"/>
            <w:tcBorders>
              <w:bottom w:val="single" w:color="EFF2F8" w:sz="12" w:space="0"/>
              <w:right w:val="single" w:color="EFF2F8" w:sz="12" w:space="0"/>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bdr w:val="none" w:color="auto" w:sz="0" w:space="0"/>
                <w:lang w:val="en-US" w:eastAsia="zh-CN" w:bidi="ar"/>
              </w:rPr>
              <w:t>广告位特征文件(</w:t>
            </w:r>
            <w:r>
              <w:rPr>
                <w:rFonts w:ascii="宋体" w:hAnsi="宋体" w:eastAsia="宋体" w:cs="宋体"/>
                <w:i/>
                <w:kern w:val="0"/>
                <w:sz w:val="24"/>
                <w:szCs w:val="24"/>
                <w:bdr w:val="none" w:color="auto" w:sz="0" w:space="0"/>
                <w:lang w:val="en-US" w:eastAsia="zh-CN" w:bidi="ar"/>
              </w:rPr>
              <w:t>position.csv</w:t>
            </w:r>
            <w:r>
              <w:rPr>
                <w:rFonts w:ascii="宋体" w:hAnsi="宋体" w:eastAsia="宋体" w:cs="宋体"/>
                <w:kern w:val="0"/>
                <w:sz w:val="24"/>
                <w:szCs w:val="24"/>
                <w:bdr w:val="none" w:color="auto" w:sz="0" w:space="0"/>
                <w:lang w:val="en-US" w:eastAsia="zh-CN" w:bidi="ar"/>
              </w:rPr>
              <w:t>)</w:t>
            </w:r>
          </w:p>
        </w:tc>
        <w:tc>
          <w:tcPr>
            <w:tcW w:w="4594" w:type="dxa"/>
            <w:tcBorders>
              <w:bottom w:val="single" w:color="EFF2F8" w:sz="12" w:space="0"/>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每行描述一个广告位，各字段之间由逗号分隔，顺序依次为：“positionID，sitesetID，positionType”。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05" w:type="dxa"/>
            <w:gridSpan w:val="2"/>
            <w:tcBorders>
              <w:bottom w:val="nil"/>
              <w:right w:val="nil"/>
            </w:tcBorders>
            <w:shd w:val="clear" w:color="auto" w:fill="FFFFFF"/>
            <w:tcMar>
              <w:top w:w="150" w:type="dxa"/>
              <w:left w:w="300" w:type="dxa"/>
              <w:bottom w:w="150" w:type="dxa"/>
              <w:right w:w="30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注：若字段取值为0或空字符串均代表未知。</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before="750" w:beforeAutospacing="0" w:after="750" w:afterAutospacing="0"/>
        <w:ind w:left="0" w:right="0"/>
      </w:pPr>
      <w:r>
        <w:rPr>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left w:val="single" w:color="FF0000" w:sz="24" w:space="7"/>
        </w:pBdr>
        <w:spacing w:before="300" w:beforeAutospacing="0" w:after="300" w:afterAutospacing="0" w:line="17" w:lineRule="atLeast"/>
        <w:ind w:left="0" w:right="0"/>
        <w:rPr>
          <w:sz w:val="36"/>
          <w:szCs w:val="36"/>
        </w:rPr>
      </w:pPr>
      <w:r>
        <w:rPr>
          <w:sz w:val="36"/>
          <w:szCs w:val="36"/>
          <w:bdr w:val="single" w:color="FF0000" w:sz="24" w:space="0"/>
        </w:rPr>
        <w:t>评估方式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180" w:right="0"/>
      </w:pPr>
      <w:r>
        <w:rPr>
          <w:bdr w:val="none" w:color="auto" w:sz="0" w:space="0"/>
        </w:rPr>
        <w:t>通过Logarithmic Loss评估(越小越好)，公式如下：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180" w:right="0"/>
        <w:jc w:val="cente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"http://qzonestyle.gtimg.cn/gdt/canvas/Starry/public/image/formula-1.png"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4524375" cy="847725"/>
            <wp:effectExtent l="0" t="0" r="9525" b="9525"/>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4"/>
                    <a:stretch>
                      <a:fillRect/>
                    </a:stretch>
                  </pic:blipFill>
                  <pic:spPr>
                    <a:xfrm>
                      <a:off x="0" y="0"/>
                      <a:ext cx="4524375" cy="84772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180" w:right="0"/>
      </w:pPr>
      <w:r>
        <w:rPr>
          <w:bdr w:val="none" w:color="auto" w:sz="0" w:space="0"/>
        </w:rPr>
        <w:t>其中，N是测试样本总数，y</w:t>
      </w:r>
      <w:r>
        <w:rPr>
          <w:b/>
          <w:sz w:val="21"/>
          <w:szCs w:val="21"/>
          <w:bdr w:val="none" w:color="auto" w:sz="0" w:space="0"/>
          <w:vertAlign w:val="baseline"/>
        </w:rPr>
        <w:t>i</w:t>
      </w:r>
      <w:r>
        <w:rPr>
          <w:bdr w:val="none" w:color="auto" w:sz="0" w:space="0"/>
        </w:rPr>
        <w:t>是二值变量，取值0或1，表示第i个样本的label，p</w:t>
      </w:r>
      <w:r>
        <w:rPr>
          <w:b/>
          <w:sz w:val="21"/>
          <w:szCs w:val="21"/>
          <w:bdr w:val="none" w:color="auto" w:sz="0" w:space="0"/>
          <w:vertAlign w:val="baseline"/>
        </w:rPr>
        <w:t>i</w:t>
      </w:r>
      <w:r>
        <w:rPr>
          <w:bdr w:val="none" w:color="auto" w:sz="0" w:space="0"/>
        </w:rPr>
        <w:t>为模型预测第i个样本 label为1的概率。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450" w:lineRule="atLeast"/>
        <w:ind w:left="180" w:right="0"/>
        <w:jc w:val="left"/>
        <w:rPr>
          <w:b/>
          <w:sz w:val="24"/>
          <w:szCs w:val="24"/>
        </w:rPr>
      </w:pPr>
      <w:r>
        <w:rPr>
          <w:rFonts w:ascii="宋体" w:hAnsi="宋体" w:eastAsia="宋体" w:cs="宋体"/>
          <w:b/>
          <w:kern w:val="0"/>
          <w:sz w:val="24"/>
          <w:szCs w:val="24"/>
          <w:bdr w:val="none" w:color="auto" w:sz="0" w:space="0"/>
          <w:lang w:val="en-US" w:eastAsia="zh-CN" w:bidi="ar"/>
        </w:rPr>
        <w:t>示例代码如下(Python语言)：</w:t>
      </w:r>
    </w:p>
    <w:p>
      <w:pPr>
        <w:pStyle w:val="3"/>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7F7F7"/>
        <w:wordWrap/>
        <w:spacing w:before="0" w:beforeAutospacing="0" w:after="240" w:afterAutospacing="0" w:line="22" w:lineRule="atLeast"/>
        <w:ind w:left="180" w:right="0"/>
        <w:rPr>
          <w:rFonts w:hint="default" w:ascii="Consolas" w:hAnsi="Consolas" w:eastAsia="Consolas" w:cs="Consolas"/>
          <w:b w:val="0"/>
          <w:i w:val="0"/>
          <w:color w:val="333333"/>
          <w:sz w:val="20"/>
          <w:szCs w:val="20"/>
          <w:bdr w:val="single" w:color="CCCCCC" w:sz="6" w:space="0"/>
          <w:shd w:val="clear" w:fill="F7F7F7"/>
        </w:rPr>
      </w:pPr>
      <w:r>
        <w:rPr>
          <w:rFonts w:hint="default" w:ascii="Consolas" w:hAnsi="Consolas" w:eastAsia="Consolas" w:cs="Consolas"/>
          <w:b w:val="0"/>
          <w:i w:val="0"/>
          <w:color w:val="A71D5D"/>
          <w:sz w:val="20"/>
          <w:szCs w:val="20"/>
          <w:bdr w:val="none" w:color="auto" w:sz="0" w:space="0"/>
          <w:shd w:val="clear" w:fill="F7F7F7"/>
        </w:rPr>
        <w:t>import</w:t>
      </w:r>
      <w:r>
        <w:rPr>
          <w:rFonts w:hint="default" w:ascii="Consolas" w:hAnsi="Consolas" w:eastAsia="Consolas" w:cs="Consolas"/>
          <w:b w:val="0"/>
          <w:i w:val="0"/>
          <w:color w:val="333333"/>
          <w:sz w:val="20"/>
          <w:szCs w:val="20"/>
          <w:bdr w:val="single" w:color="CCCCCC" w:sz="6" w:space="0"/>
          <w:shd w:val="clear" w:fill="F7F7F7"/>
        </w:rPr>
        <w:t xml:space="preserve"> scipy </w:t>
      </w:r>
      <w:r>
        <w:rPr>
          <w:rFonts w:hint="default" w:ascii="Consolas" w:hAnsi="Consolas" w:eastAsia="Consolas" w:cs="Consolas"/>
          <w:b w:val="0"/>
          <w:i w:val="0"/>
          <w:color w:val="A71D5D"/>
          <w:sz w:val="20"/>
          <w:szCs w:val="20"/>
          <w:bdr w:val="none" w:color="auto" w:sz="0" w:space="0"/>
          <w:shd w:val="clear" w:fill="F7F7F7"/>
        </w:rPr>
        <w:t>as</w:t>
      </w:r>
      <w:r>
        <w:rPr>
          <w:rFonts w:hint="default" w:ascii="Consolas" w:hAnsi="Consolas" w:eastAsia="Consolas" w:cs="Consolas"/>
          <w:b w:val="0"/>
          <w:i w:val="0"/>
          <w:color w:val="333333"/>
          <w:sz w:val="20"/>
          <w:szCs w:val="20"/>
          <w:bdr w:val="single" w:color="CCCCCC" w:sz="6" w:space="0"/>
          <w:shd w:val="clear" w:fill="F7F7F7"/>
        </w:rPr>
        <w:t xml:space="preserve"> sp</w:t>
      </w:r>
      <w:r>
        <w:rPr>
          <w:rFonts w:hint="default" w:ascii="Consolas" w:hAnsi="Consolas" w:eastAsia="Consolas" w:cs="Consolas"/>
          <w:b w:val="0"/>
          <w:i w:val="0"/>
          <w:color w:val="A71D5D"/>
          <w:sz w:val="20"/>
          <w:szCs w:val="20"/>
          <w:bdr w:val="none" w:color="auto" w:sz="0" w:space="0"/>
          <w:shd w:val="clear" w:fill="F7F7F7"/>
        </w:rPr>
        <w:t>def</w:t>
      </w:r>
      <w:r>
        <w:rPr>
          <w:rFonts w:hint="default" w:ascii="Consolas" w:hAnsi="Consolas" w:eastAsia="Consolas" w:cs="Consolas"/>
          <w:b w:val="0"/>
          <w:i w:val="0"/>
          <w:color w:val="333333"/>
          <w:sz w:val="20"/>
          <w:szCs w:val="20"/>
          <w:bdr w:val="single" w:color="CCCCCC" w:sz="6" w:space="0"/>
          <w:shd w:val="clear" w:fill="F7F7F7"/>
        </w:rPr>
        <w:t xml:space="preserve"> </w:t>
      </w:r>
      <w:r>
        <w:rPr>
          <w:rFonts w:hint="default" w:ascii="Consolas" w:hAnsi="Consolas" w:eastAsia="Consolas" w:cs="Consolas"/>
          <w:b w:val="0"/>
          <w:i w:val="0"/>
          <w:color w:val="795DA3"/>
          <w:sz w:val="20"/>
          <w:szCs w:val="20"/>
          <w:bdr w:val="none" w:color="auto" w:sz="0" w:space="0"/>
          <w:shd w:val="clear" w:fill="F7F7F7"/>
        </w:rPr>
        <w:t>logloss</w:t>
      </w:r>
      <w:r>
        <w:rPr>
          <w:rFonts w:hint="default" w:ascii="Consolas" w:hAnsi="Consolas" w:eastAsia="Consolas" w:cs="Consolas"/>
          <w:b w:val="0"/>
          <w:i w:val="0"/>
          <w:color w:val="333333"/>
          <w:sz w:val="20"/>
          <w:szCs w:val="20"/>
          <w:bdr w:val="single" w:color="CCCCCC" w:sz="6" w:space="0"/>
          <w:shd w:val="clear" w:fill="F7F7F7"/>
        </w:rPr>
        <w:t>(</w:t>
      </w:r>
      <w:r>
        <w:rPr>
          <w:rFonts w:hint="default" w:ascii="Consolas" w:hAnsi="Consolas" w:eastAsia="Consolas" w:cs="Consolas"/>
          <w:b w:val="0"/>
          <w:i w:val="0"/>
          <w:color w:val="333333"/>
          <w:sz w:val="20"/>
          <w:szCs w:val="20"/>
          <w:bdr w:val="none" w:color="auto" w:sz="0" w:space="0"/>
          <w:shd w:val="clear" w:fill="F7F7F7"/>
        </w:rPr>
        <w:t>act</w:t>
      </w:r>
      <w:r>
        <w:rPr>
          <w:rFonts w:hint="default" w:ascii="Consolas" w:hAnsi="Consolas" w:eastAsia="Consolas" w:cs="Consolas"/>
          <w:b w:val="0"/>
          <w:i w:val="0"/>
          <w:color w:val="333333"/>
          <w:sz w:val="20"/>
          <w:szCs w:val="20"/>
          <w:bdr w:val="single" w:color="CCCCCC" w:sz="6" w:space="0"/>
          <w:shd w:val="clear" w:fill="F7F7F7"/>
        </w:rPr>
        <w:t xml:space="preserve">, </w:t>
      </w:r>
      <w:r>
        <w:rPr>
          <w:rFonts w:hint="default" w:ascii="Consolas" w:hAnsi="Consolas" w:eastAsia="Consolas" w:cs="Consolas"/>
          <w:b w:val="0"/>
          <w:i w:val="0"/>
          <w:color w:val="333333"/>
          <w:sz w:val="20"/>
          <w:szCs w:val="20"/>
          <w:bdr w:val="none" w:color="auto" w:sz="0" w:space="0"/>
          <w:shd w:val="clear" w:fill="F7F7F7"/>
        </w:rPr>
        <w:t>pred</w:t>
      </w:r>
      <w:r>
        <w:rPr>
          <w:rFonts w:hint="default" w:ascii="Consolas" w:hAnsi="Consolas" w:eastAsia="Consolas" w:cs="Consolas"/>
          <w:b w:val="0"/>
          <w:i w:val="0"/>
          <w:color w:val="333333"/>
          <w:sz w:val="20"/>
          <w:szCs w:val="20"/>
          <w:bdr w:val="single" w:color="CCCCCC" w:sz="6" w:space="0"/>
          <w:shd w:val="clear" w:fill="F7F7F7"/>
        </w:rPr>
        <w:t>):</w:t>
      </w:r>
    </w:p>
    <w:p>
      <w:pPr>
        <w:pStyle w:val="3"/>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7F7F7"/>
        <w:wordWrap/>
        <w:spacing w:before="0" w:beforeAutospacing="0" w:after="240" w:afterAutospacing="0" w:line="22" w:lineRule="atLeast"/>
        <w:ind w:left="180" w:right="0"/>
        <w:rPr>
          <w:rFonts w:hint="default" w:ascii="Consolas" w:hAnsi="Consolas" w:eastAsia="Consolas" w:cs="Consolas"/>
          <w:b w:val="0"/>
          <w:i w:val="0"/>
          <w:color w:val="333333"/>
          <w:sz w:val="20"/>
          <w:szCs w:val="20"/>
          <w:bdr w:val="single" w:color="CCCCCC" w:sz="6" w:space="0"/>
          <w:shd w:val="clear" w:fill="F7F7F7"/>
        </w:rPr>
      </w:pPr>
      <w:r>
        <w:rPr>
          <w:rFonts w:hint="default" w:ascii="Consolas" w:hAnsi="Consolas" w:eastAsia="Consolas" w:cs="Consolas"/>
          <w:b w:val="0"/>
          <w:i w:val="0"/>
          <w:color w:val="333333"/>
          <w:sz w:val="20"/>
          <w:szCs w:val="20"/>
          <w:bdr w:val="single" w:color="CCCCCC" w:sz="6" w:space="0"/>
          <w:shd w:val="clear" w:fill="F7F7F7"/>
        </w:rPr>
        <w:t xml:space="preserve">  epsilon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 </w:t>
      </w:r>
      <w:r>
        <w:rPr>
          <w:rFonts w:hint="default" w:ascii="Consolas" w:hAnsi="Consolas" w:eastAsia="Consolas" w:cs="Consolas"/>
          <w:b w:val="0"/>
          <w:i w:val="0"/>
          <w:color w:val="0086B3"/>
          <w:sz w:val="20"/>
          <w:szCs w:val="20"/>
          <w:bdr w:val="none" w:color="auto" w:sz="0" w:space="0"/>
          <w:shd w:val="clear" w:fill="F7F7F7"/>
        </w:rPr>
        <w:t>1e-15</w:t>
      </w:r>
    </w:p>
    <w:p>
      <w:pPr>
        <w:pStyle w:val="3"/>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7F7F7"/>
        <w:wordWrap/>
        <w:spacing w:before="0" w:beforeAutospacing="0" w:after="240" w:afterAutospacing="0" w:line="22" w:lineRule="atLeast"/>
        <w:ind w:left="180" w:right="0"/>
        <w:rPr>
          <w:rFonts w:hint="default" w:ascii="Consolas" w:hAnsi="Consolas" w:eastAsia="Consolas" w:cs="Consolas"/>
          <w:b w:val="0"/>
          <w:i w:val="0"/>
          <w:color w:val="333333"/>
          <w:sz w:val="20"/>
          <w:szCs w:val="20"/>
          <w:bdr w:val="single" w:color="CCCCCC" w:sz="6" w:space="0"/>
          <w:shd w:val="clear" w:fill="F7F7F7"/>
        </w:rPr>
      </w:pPr>
      <w:r>
        <w:rPr>
          <w:rFonts w:hint="default" w:ascii="Consolas" w:hAnsi="Consolas" w:eastAsia="Consolas" w:cs="Consolas"/>
          <w:b w:val="0"/>
          <w:i w:val="0"/>
          <w:color w:val="333333"/>
          <w:sz w:val="20"/>
          <w:szCs w:val="20"/>
          <w:bdr w:val="single" w:color="CCCCCC" w:sz="6" w:space="0"/>
          <w:shd w:val="clear" w:fill="F7F7F7"/>
        </w:rPr>
        <w:t xml:space="preserve">  pred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 sp.maximum(epsilon, pred)</w:t>
      </w:r>
    </w:p>
    <w:p>
      <w:pPr>
        <w:pStyle w:val="3"/>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7F7F7"/>
        <w:wordWrap/>
        <w:spacing w:before="0" w:beforeAutospacing="0" w:after="240" w:afterAutospacing="0" w:line="22" w:lineRule="atLeast"/>
        <w:ind w:left="180" w:right="0"/>
        <w:rPr>
          <w:rFonts w:hint="default" w:ascii="Consolas" w:hAnsi="Consolas" w:eastAsia="Consolas" w:cs="Consolas"/>
          <w:b w:val="0"/>
          <w:i w:val="0"/>
          <w:color w:val="333333"/>
          <w:sz w:val="20"/>
          <w:szCs w:val="20"/>
          <w:bdr w:val="single" w:color="CCCCCC" w:sz="6" w:space="0"/>
          <w:shd w:val="clear" w:fill="F7F7F7"/>
        </w:rPr>
      </w:pPr>
      <w:r>
        <w:rPr>
          <w:rFonts w:hint="default" w:ascii="Consolas" w:hAnsi="Consolas" w:eastAsia="Consolas" w:cs="Consolas"/>
          <w:b w:val="0"/>
          <w:i w:val="0"/>
          <w:color w:val="333333"/>
          <w:sz w:val="20"/>
          <w:szCs w:val="20"/>
          <w:bdr w:val="single" w:color="CCCCCC" w:sz="6" w:space="0"/>
          <w:shd w:val="clear" w:fill="F7F7F7"/>
        </w:rPr>
        <w:t xml:space="preserve">  pred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 sp.minimum(</w:t>
      </w:r>
      <w:r>
        <w:rPr>
          <w:rFonts w:hint="default" w:ascii="Consolas" w:hAnsi="Consolas" w:eastAsia="Consolas" w:cs="Consolas"/>
          <w:b w:val="0"/>
          <w:i w:val="0"/>
          <w:color w:val="0086B3"/>
          <w:sz w:val="20"/>
          <w:szCs w:val="20"/>
          <w:bdr w:val="none" w:color="auto" w:sz="0" w:space="0"/>
          <w:shd w:val="clear" w:fill="F7F7F7"/>
        </w:rPr>
        <w:t>1</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epsilon, pred)</w:t>
      </w:r>
    </w:p>
    <w:p>
      <w:pPr>
        <w:pStyle w:val="3"/>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7F7F7"/>
        <w:wordWrap/>
        <w:spacing w:before="0" w:beforeAutospacing="0" w:after="240" w:afterAutospacing="0" w:line="22" w:lineRule="atLeast"/>
        <w:ind w:left="180" w:right="0"/>
        <w:rPr>
          <w:rFonts w:hint="default" w:ascii="Consolas" w:hAnsi="Consolas" w:eastAsia="Consolas" w:cs="Consolas"/>
          <w:b w:val="0"/>
          <w:i w:val="0"/>
          <w:color w:val="333333"/>
          <w:sz w:val="20"/>
          <w:szCs w:val="20"/>
          <w:bdr w:val="single" w:color="CCCCCC" w:sz="6" w:space="0"/>
          <w:shd w:val="clear" w:fill="F7F7F7"/>
        </w:rPr>
      </w:pPr>
      <w:r>
        <w:rPr>
          <w:rFonts w:hint="default" w:ascii="Consolas" w:hAnsi="Consolas" w:eastAsia="Consolas" w:cs="Consolas"/>
          <w:b w:val="0"/>
          <w:i w:val="0"/>
          <w:color w:val="333333"/>
          <w:sz w:val="20"/>
          <w:szCs w:val="20"/>
          <w:bdr w:val="single" w:color="CCCCCC" w:sz="6" w:space="0"/>
          <w:shd w:val="clear" w:fill="F7F7F7"/>
        </w:rPr>
        <w:t xml:space="preserve">  ll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 </w:t>
      </w:r>
      <w:r>
        <w:rPr>
          <w:rFonts w:hint="default" w:ascii="Consolas" w:hAnsi="Consolas" w:eastAsia="Consolas" w:cs="Consolas"/>
          <w:b w:val="0"/>
          <w:i w:val="0"/>
          <w:color w:val="0086B3"/>
          <w:sz w:val="20"/>
          <w:szCs w:val="20"/>
          <w:bdr w:val="none" w:color="auto" w:sz="0" w:space="0"/>
          <w:shd w:val="clear" w:fill="F7F7F7"/>
        </w:rPr>
        <w:t>sum</w:t>
      </w:r>
      <w:r>
        <w:rPr>
          <w:rFonts w:hint="default" w:ascii="Consolas" w:hAnsi="Consolas" w:eastAsia="Consolas" w:cs="Consolas"/>
          <w:b w:val="0"/>
          <w:i w:val="0"/>
          <w:color w:val="333333"/>
          <w:sz w:val="20"/>
          <w:szCs w:val="20"/>
          <w:bdr w:val="single" w:color="CCCCCC" w:sz="6" w:space="0"/>
          <w:shd w:val="clear" w:fill="F7F7F7"/>
        </w:rPr>
        <w:t>(act</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sp.log(pred)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 sp.subtract(</w:t>
      </w:r>
      <w:r>
        <w:rPr>
          <w:rFonts w:hint="default" w:ascii="Consolas" w:hAnsi="Consolas" w:eastAsia="Consolas" w:cs="Consolas"/>
          <w:b w:val="0"/>
          <w:i w:val="0"/>
          <w:color w:val="0086B3"/>
          <w:sz w:val="20"/>
          <w:szCs w:val="20"/>
          <w:bdr w:val="none" w:color="auto" w:sz="0" w:space="0"/>
          <w:shd w:val="clear" w:fill="F7F7F7"/>
        </w:rPr>
        <w:t>1</w:t>
      </w:r>
      <w:r>
        <w:rPr>
          <w:rFonts w:hint="default" w:ascii="Consolas" w:hAnsi="Consolas" w:eastAsia="Consolas" w:cs="Consolas"/>
          <w:b w:val="0"/>
          <w:i w:val="0"/>
          <w:color w:val="333333"/>
          <w:sz w:val="20"/>
          <w:szCs w:val="20"/>
          <w:bdr w:val="single" w:color="CCCCCC" w:sz="6" w:space="0"/>
          <w:shd w:val="clear" w:fill="F7F7F7"/>
        </w:rPr>
        <w:t>,act)</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sp.log(sp.subtract(</w:t>
      </w:r>
      <w:r>
        <w:rPr>
          <w:rFonts w:hint="default" w:ascii="Consolas" w:hAnsi="Consolas" w:eastAsia="Consolas" w:cs="Consolas"/>
          <w:b w:val="0"/>
          <w:i w:val="0"/>
          <w:color w:val="0086B3"/>
          <w:sz w:val="20"/>
          <w:szCs w:val="20"/>
          <w:bdr w:val="none" w:color="auto" w:sz="0" w:space="0"/>
          <w:shd w:val="clear" w:fill="F7F7F7"/>
        </w:rPr>
        <w:t>1</w:t>
      </w:r>
      <w:r>
        <w:rPr>
          <w:rFonts w:hint="default" w:ascii="Consolas" w:hAnsi="Consolas" w:eastAsia="Consolas" w:cs="Consolas"/>
          <w:b w:val="0"/>
          <w:i w:val="0"/>
          <w:color w:val="333333"/>
          <w:sz w:val="20"/>
          <w:szCs w:val="20"/>
          <w:bdr w:val="single" w:color="CCCCCC" w:sz="6" w:space="0"/>
          <w:shd w:val="clear" w:fill="F7F7F7"/>
        </w:rPr>
        <w:t>,pred)))</w:t>
      </w:r>
    </w:p>
    <w:p>
      <w:pPr>
        <w:pStyle w:val="3"/>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7F7F7"/>
        <w:wordWrap/>
        <w:spacing w:before="0" w:beforeAutospacing="0" w:after="240" w:afterAutospacing="0" w:line="22" w:lineRule="atLeast"/>
        <w:ind w:left="180" w:right="0"/>
        <w:rPr>
          <w:rFonts w:hint="default" w:ascii="Consolas" w:hAnsi="Consolas" w:eastAsia="Consolas" w:cs="Consolas"/>
          <w:b w:val="0"/>
          <w:i w:val="0"/>
          <w:color w:val="333333"/>
          <w:sz w:val="20"/>
          <w:szCs w:val="20"/>
          <w:bdr w:val="single" w:color="CCCCCC" w:sz="6" w:space="0"/>
          <w:shd w:val="clear" w:fill="F7F7F7"/>
        </w:rPr>
      </w:pPr>
      <w:r>
        <w:rPr>
          <w:rFonts w:hint="default" w:ascii="Consolas" w:hAnsi="Consolas" w:eastAsia="Consolas" w:cs="Consolas"/>
          <w:b w:val="0"/>
          <w:i w:val="0"/>
          <w:color w:val="333333"/>
          <w:sz w:val="20"/>
          <w:szCs w:val="20"/>
          <w:bdr w:val="single" w:color="CCCCCC" w:sz="6" w:space="0"/>
          <w:shd w:val="clear" w:fill="F7F7F7"/>
        </w:rPr>
        <w:t xml:space="preserve">  ll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 ll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333333"/>
          <w:sz w:val="20"/>
          <w:szCs w:val="20"/>
          <w:bdr w:val="single" w:color="CCCCCC" w:sz="6" w:space="0"/>
          <w:shd w:val="clear" w:fill="F7F7F7"/>
        </w:rPr>
        <w:t xml:space="preserve"> </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0086B3"/>
          <w:sz w:val="20"/>
          <w:szCs w:val="20"/>
          <w:bdr w:val="none" w:color="auto" w:sz="0" w:space="0"/>
          <w:shd w:val="clear" w:fill="F7F7F7"/>
        </w:rPr>
        <w:t>1.0</w:t>
      </w:r>
      <w:r>
        <w:rPr>
          <w:rFonts w:hint="default" w:ascii="Consolas" w:hAnsi="Consolas" w:eastAsia="Consolas" w:cs="Consolas"/>
          <w:b w:val="0"/>
          <w:i w:val="0"/>
          <w:color w:val="A71D5D"/>
          <w:sz w:val="20"/>
          <w:szCs w:val="20"/>
          <w:bdr w:val="none" w:color="auto" w:sz="0" w:space="0"/>
          <w:shd w:val="clear" w:fill="F7F7F7"/>
        </w:rPr>
        <w:t>/</w:t>
      </w:r>
      <w:r>
        <w:rPr>
          <w:rFonts w:hint="default" w:ascii="Consolas" w:hAnsi="Consolas" w:eastAsia="Consolas" w:cs="Consolas"/>
          <w:b w:val="0"/>
          <w:i w:val="0"/>
          <w:color w:val="0086B3"/>
          <w:sz w:val="20"/>
          <w:szCs w:val="20"/>
          <w:bdr w:val="none" w:color="auto" w:sz="0" w:space="0"/>
          <w:shd w:val="clear" w:fill="F7F7F7"/>
        </w:rPr>
        <w:t>len</w:t>
      </w:r>
      <w:r>
        <w:rPr>
          <w:rFonts w:hint="default" w:ascii="Consolas" w:hAnsi="Consolas" w:eastAsia="Consolas" w:cs="Consolas"/>
          <w:b w:val="0"/>
          <w:i w:val="0"/>
          <w:color w:val="333333"/>
          <w:sz w:val="20"/>
          <w:szCs w:val="20"/>
          <w:bdr w:val="single" w:color="CCCCCC" w:sz="6" w:space="0"/>
          <w:shd w:val="clear" w:fill="F7F7F7"/>
        </w:rPr>
        <w:t>(act)</w:t>
      </w:r>
    </w:p>
    <w:p>
      <w:pPr>
        <w:pStyle w:val="3"/>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7F7F7"/>
        <w:wordWrap/>
        <w:spacing w:before="0" w:beforeAutospacing="0" w:after="240" w:afterAutospacing="0" w:line="22" w:lineRule="atLeast"/>
        <w:ind w:left="180" w:right="0"/>
        <w:rPr>
          <w:rFonts w:ascii="Consolas" w:hAnsi="Consolas" w:eastAsia="Consolas" w:cs="Consolas"/>
          <w:b w:val="0"/>
          <w:i w:val="0"/>
          <w:color w:val="333333"/>
          <w:sz w:val="20"/>
          <w:szCs w:val="20"/>
        </w:rPr>
      </w:pPr>
      <w:r>
        <w:rPr>
          <w:rFonts w:hint="default" w:ascii="Consolas" w:hAnsi="Consolas" w:eastAsia="Consolas" w:cs="Consolas"/>
          <w:b w:val="0"/>
          <w:i w:val="0"/>
          <w:color w:val="333333"/>
          <w:sz w:val="20"/>
          <w:szCs w:val="20"/>
          <w:bdr w:val="single" w:color="CCCCCC" w:sz="6" w:space="0"/>
          <w:shd w:val="clear" w:fill="F7F7F7"/>
        </w:rPr>
        <w:t xml:space="preserve">  </w:t>
      </w:r>
      <w:r>
        <w:rPr>
          <w:rFonts w:hint="default" w:ascii="Consolas" w:hAnsi="Consolas" w:eastAsia="Consolas" w:cs="Consolas"/>
          <w:b w:val="0"/>
          <w:i w:val="0"/>
          <w:color w:val="A71D5D"/>
          <w:sz w:val="20"/>
          <w:szCs w:val="20"/>
          <w:bdr w:val="none" w:color="auto" w:sz="0" w:space="0"/>
          <w:shd w:val="clear" w:fill="F7F7F7"/>
        </w:rPr>
        <w:t>return</w:t>
      </w:r>
      <w:r>
        <w:rPr>
          <w:rFonts w:hint="default" w:ascii="Consolas" w:hAnsi="Consolas" w:eastAsia="Consolas" w:cs="Consolas"/>
          <w:b w:val="0"/>
          <w:i w:val="0"/>
          <w:color w:val="333333"/>
          <w:sz w:val="20"/>
          <w:szCs w:val="20"/>
          <w:bdr w:val="single" w:color="CCCCCC" w:sz="6" w:space="0"/>
          <w:shd w:val="clear" w:fill="F7F7F7"/>
        </w:rPr>
        <w:t xml:space="preserve"> 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before="750" w:beforeAutospacing="0" w:after="750" w:afterAutospacing="0"/>
        <w:ind w:left="0" w:right="0"/>
      </w:pPr>
      <w:r>
        <w:rPr>
          <w:rFonts w:ascii="Consolas" w:hAnsi="Consolas" w:eastAsia="Consolas" w:cs="Consolas"/>
          <w:b w:val="0"/>
          <w:i w:val="0"/>
          <w:color w:val="333333"/>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left w:val="single" w:color="FF0000" w:sz="24" w:space="7"/>
        </w:pBdr>
        <w:spacing w:before="300" w:beforeAutospacing="0" w:after="300" w:afterAutospacing="0" w:line="17" w:lineRule="atLeast"/>
        <w:ind w:left="0" w:right="0"/>
        <w:rPr>
          <w:sz w:val="36"/>
          <w:szCs w:val="36"/>
        </w:rPr>
      </w:pPr>
      <w:r>
        <w:rPr>
          <w:sz w:val="36"/>
          <w:szCs w:val="36"/>
          <w:bdr w:val="single" w:color="FF0000" w:sz="24" w:space="0"/>
        </w:rPr>
        <w:t>提交方式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模型预估结果以zip压缩文件方式提交，内部文件名是submission.csv。每行代表一个测试样本，第一行为header，可以记录本文件相关关键信息，评测时会忽略，从第二行开始各字段之间由逗号分隔，顺序依次为：“instanceID, prob”，其中，instanceID唯一标识一个测试样本，必须升序排列，prob为模型预估的广告转化概率。示例如下：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jc w:val="left"/>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"http://qzonestyle.gtimg.cn/gdt/canvas/Starry/public/image/test-data.png?version=1.0.6"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1647825" cy="1304925"/>
            <wp:effectExtent l="0" t="0" r="9525" b="9525"/>
            <wp:docPr id="2"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7"/>
                    <pic:cNvPicPr>
                      <a:picLocks noChangeAspect="1"/>
                    </pic:cNvPicPr>
                  </pic:nvPicPr>
                  <pic:blipFill>
                    <a:blip r:embed="rId5"/>
                    <a:stretch>
                      <a:fillRect/>
                    </a:stretch>
                  </pic:blipFill>
                  <pic:spPr>
                    <a:xfrm>
                      <a:off x="0" y="0"/>
                      <a:ext cx="1647825" cy="1304925"/>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before="750" w:beforeAutospacing="0" w:after="750" w:afterAutospacing="0"/>
        <w:ind w:left="0" w:right="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left w:val="single" w:color="FF0000" w:sz="24" w:space="7"/>
        </w:pBdr>
        <w:spacing w:before="300" w:beforeAutospacing="0" w:after="300" w:afterAutospacing="0" w:line="17" w:lineRule="atLeast"/>
        <w:ind w:left="0" w:right="0"/>
        <w:rPr>
          <w:sz w:val="36"/>
          <w:szCs w:val="36"/>
        </w:rPr>
      </w:pPr>
      <w:r>
        <w:rPr>
          <w:sz w:val="36"/>
          <w:szCs w:val="36"/>
          <w:bdr w:val="single" w:color="FF0000" w:sz="24" w:space="0"/>
        </w:rPr>
        <w:t>补充说明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450" w:lineRule="atLeast"/>
        <w:ind w:left="0" w:right="0"/>
        <w:jc w:val="left"/>
        <w:rPr>
          <w:b/>
          <w:sz w:val="24"/>
          <w:szCs w:val="24"/>
        </w:rPr>
      </w:pPr>
      <w:r>
        <w:rPr>
          <w:rFonts w:ascii="宋体" w:hAnsi="宋体" w:eastAsia="宋体" w:cs="宋体"/>
          <w:b/>
          <w:kern w:val="0"/>
          <w:sz w:val="24"/>
          <w:szCs w:val="24"/>
          <w:bdr w:val="none" w:color="auto" w:sz="0" w:space="0"/>
          <w:lang w:val="en-US" w:eastAsia="zh-CN" w:bidi="ar"/>
        </w:rPr>
        <w:t>1.什么是转化回流时间？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App 的激活定义为用户下载后启动了该App，即发生激活行为。从用户点击广告到广告系统得知用户激活了App(如果有)，通常会有较长的时间间隔，主要由以下两方面原因导致：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0" w:right="0"/>
      </w:pPr>
      <w:r>
        <w:rPr>
          <w:bdr w:val="none" w:color="auto" w:sz="0" w:space="0"/>
        </w:rPr>
        <w:t>1) 用户可能在下载之后过了很久才启动App；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600" w:right="0"/>
      </w:pPr>
      <w:r>
        <w:rPr>
          <w:bdr w:val="none" w:color="auto" w:sz="0" w:space="0"/>
        </w:rPr>
        <w:t>2) 用户启动App的行为需要广告主上报回传给广告系统，通常会有一定的延时。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这里回流时间表示了广告主把App激活数据上报给广告系统的时间，回流时间超过5天的数据会被系统忽略。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值得注意的是，本次竞赛的训练数据提供的截止第31天0点的广告日志，因此，对于最后几天的训练数据，某些label=0并不够准确，可能广告系统会在第31天之后得知label实际上为1。</w:t>
      </w:r>
    </w:p>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450" w:lineRule="atLeast"/>
        <w:ind w:left="0" w:right="0"/>
        <w:jc w:val="left"/>
        <w:rPr>
          <w:b/>
          <w:sz w:val="24"/>
          <w:szCs w:val="24"/>
        </w:rPr>
      </w:pPr>
      <w:r>
        <w:rPr>
          <w:rFonts w:ascii="宋体" w:hAnsi="宋体" w:eastAsia="宋体" w:cs="宋体"/>
          <w:b/>
          <w:kern w:val="0"/>
          <w:sz w:val="24"/>
          <w:szCs w:val="24"/>
          <w:bdr w:val="none" w:color="auto" w:sz="0" w:space="0"/>
          <w:lang w:val="en-US" w:eastAsia="zh-CN" w:bidi="ar"/>
        </w:rPr>
        <w:t>2.原始时间信息抹掉了，关键数据源时间关系是什么？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为了直观起见，如下图所示：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pPr>
      <w:r>
        <w:rPr>
          <w:rFonts w:ascii="宋体" w:hAnsi="宋体" w:eastAsia="宋体" w:cs="宋体"/>
          <w:kern w:val="0"/>
          <w:sz w:val="24"/>
          <w:szCs w:val="24"/>
          <w:bdr w:val="none" w:color="auto" w:sz="0" w:space="0"/>
          <w:lang w:val="en-US" w:eastAsia="zh-CN" w:bidi="ar"/>
        </w:rPr>
        <w:fldChar w:fldCharType="begin"/>
      </w:r>
      <w:r>
        <w:rPr>
          <w:rFonts w:ascii="宋体" w:hAnsi="宋体" w:eastAsia="宋体" w:cs="宋体"/>
          <w:kern w:val="0"/>
          <w:sz w:val="24"/>
          <w:szCs w:val="24"/>
          <w:bdr w:val="none" w:color="auto" w:sz="0" w:space="0"/>
          <w:lang w:val="en-US" w:eastAsia="zh-CN" w:bidi="ar"/>
        </w:rPr>
        <w:instrText xml:space="preserve">INCLUDEPICTURE \d "http://qzonestyle.gtimg.cn/gdt/canvas/Starry/public/image/data-time.png" \* MERGEFORMATINET </w:instrText>
      </w:r>
      <w:r>
        <w:rPr>
          <w:rFonts w:ascii="宋体" w:hAnsi="宋体" w:eastAsia="宋体" w:cs="宋体"/>
          <w:kern w:val="0"/>
          <w:sz w:val="24"/>
          <w:szCs w:val="24"/>
          <w:bdr w:val="none" w:color="auto" w:sz="0" w:space="0"/>
          <w:lang w:val="en-US" w:eastAsia="zh-CN" w:bidi="ar"/>
        </w:rPr>
        <w:fldChar w:fldCharType="separate"/>
      </w:r>
      <w:r>
        <w:rPr>
          <w:rFonts w:ascii="宋体" w:hAnsi="宋体" w:eastAsia="宋体" w:cs="宋体"/>
          <w:kern w:val="0"/>
          <w:sz w:val="24"/>
          <w:szCs w:val="24"/>
          <w:bdr w:val="none" w:color="auto" w:sz="0" w:space="0"/>
          <w:lang w:val="en-US" w:eastAsia="zh-CN" w:bidi="ar"/>
        </w:rPr>
        <w:drawing>
          <wp:inline distT="0" distB="0" distL="114300" distR="114300">
            <wp:extent cx="6515100" cy="1524000"/>
            <wp:effectExtent l="0" t="0" r="0" b="0"/>
            <wp:docPr id="3"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58"/>
                    <pic:cNvPicPr>
                      <a:picLocks noChangeAspect="1"/>
                    </pic:cNvPicPr>
                  </pic:nvPicPr>
                  <pic:blipFill>
                    <a:blip r:embed="rId6"/>
                    <a:stretch>
                      <a:fillRect/>
                    </a:stretch>
                  </pic:blipFill>
                  <pic:spPr>
                    <a:xfrm>
                      <a:off x="0" y="0"/>
                      <a:ext cx="6515100" cy="1524000"/>
                    </a:xfrm>
                    <a:prstGeom prst="rect">
                      <a:avLst/>
                    </a:prstGeom>
                    <a:noFill/>
                    <a:ln w="9525">
                      <a:noFill/>
                    </a:ln>
                  </pic:spPr>
                </pic:pic>
              </a:graphicData>
            </a:graphic>
          </wp:inline>
        </w:drawing>
      </w:r>
      <w:r>
        <w:rPr>
          <w:rFonts w:ascii="宋体" w:hAnsi="宋体" w:eastAsia="宋体" w:cs="宋体"/>
          <w:kern w:val="0"/>
          <w:sz w:val="24"/>
          <w:szCs w:val="24"/>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450" w:lineRule="atLeast"/>
        <w:ind w:left="0" w:right="0"/>
        <w:jc w:val="left"/>
        <w:rPr>
          <w:b/>
          <w:sz w:val="24"/>
          <w:szCs w:val="24"/>
        </w:rPr>
      </w:pPr>
      <w:r>
        <w:rPr>
          <w:rFonts w:ascii="宋体" w:hAnsi="宋体" w:eastAsia="宋体" w:cs="宋体"/>
          <w:b/>
          <w:kern w:val="0"/>
          <w:sz w:val="24"/>
          <w:szCs w:val="24"/>
          <w:bdr w:val="none" w:color="auto" w:sz="0" w:space="0"/>
          <w:lang w:val="en-US" w:eastAsia="zh-CN" w:bidi="ar"/>
        </w:rPr>
        <w:t>3.初赛和复赛数据是如何选取的？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从复赛数据中根据appID随机采样得到初赛数据。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150" w:afterAutospacing="0" w:line="450" w:lineRule="atLeast"/>
        <w:ind w:left="0" w:right="0"/>
        <w:jc w:val="left"/>
        <w:rPr>
          <w:b/>
          <w:sz w:val="24"/>
          <w:szCs w:val="24"/>
        </w:rPr>
      </w:pPr>
      <w:r>
        <w:rPr>
          <w:rFonts w:ascii="宋体" w:hAnsi="宋体" w:eastAsia="宋体" w:cs="宋体"/>
          <w:b/>
          <w:kern w:val="0"/>
          <w:sz w:val="24"/>
          <w:szCs w:val="24"/>
          <w:bdr w:val="none" w:color="auto" w:sz="0" w:space="0"/>
          <w:lang w:val="en-US" w:eastAsia="zh-CN" w:bidi="ar"/>
        </w:rPr>
        <w:t>4.用户个人资料和App安装数据来源？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pPr>
      <w:r>
        <w:rPr>
          <w:bdr w:val="none" w:color="auto" w:sz="0" w:space="0"/>
        </w:rPr>
        <w:t>数据来自腾讯业务产品历史上一段时间真实数据集合的小量随机采样，关键字段均经过加密处理，只提供ID字段表示，不提供具体含义。数据处理上为比赛用途单独设计，不考虑、也不作为其他用途。</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E1D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2017-05-06T13:37:08Z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