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Задача кластеризации и её метрики качества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задачей кластеризации данных, методами её решения и оценки на практических примерах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соответствие с вариантом выбрать набор данных для задачи кластеризации;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Обучить несколько различных моделей: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29" w:hanging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метод К-средних;</w:t>
      </w:r>
    </w:p>
    <w:p>
      <w:pPr>
        <w:pStyle w:val="Style18"/>
        <w:widowControl w:val="false"/>
        <w:numPr>
          <w:ilvl w:val="0"/>
          <w:numId w:val="3"/>
        </w:numPr>
        <w:spacing w:lineRule="auto" w:line="360" w:before="0" w:after="0"/>
        <w:ind w:left="1541" w:right="129" w:hanging="360"/>
        <w:jc w:val="both"/>
        <w:rPr/>
      </w:pPr>
      <w:r>
        <w:rPr>
          <w:rFonts w:cs="Times New Roman" w:ascii="Times New Roman" w:hAnsi="Times New Roman"/>
        </w:rPr>
        <w:t>аггломеративная кластеризация;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29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Оценить каждую из обученных моделей по следующим метрикам: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0" w:after="0"/>
        <w:ind w:left="1541" w:right="129" w:hanging="360"/>
        <w:jc w:val="both"/>
        <w:rPr/>
      </w:pPr>
      <w:r>
        <w:rPr>
          <w:rFonts w:cs="Times New Roman" w:ascii="Times New Roman" w:hAnsi="Times New Roman"/>
          <w:lang w:val="en-US"/>
        </w:rPr>
        <w:t>Silhouette coefficient</w:t>
      </w:r>
      <w:r>
        <w:rPr>
          <w:rFonts w:cs="Times New Roman" w:ascii="Times New Roman" w:hAnsi="Times New Roman"/>
        </w:rPr>
        <w:t>;</w:t>
      </w:r>
    </w:p>
    <w:p>
      <w:pPr>
        <w:pStyle w:val="Style18"/>
        <w:widowControl w:val="false"/>
        <w:numPr>
          <w:ilvl w:val="0"/>
          <w:numId w:val="4"/>
        </w:numPr>
        <w:spacing w:lineRule="auto" w:line="360" w:before="0" w:after="0"/>
        <w:ind w:left="1541" w:right="12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Davies Bouldin Index;</w:t>
      </w:r>
    </w:p>
    <w:p>
      <w:pPr>
        <w:pStyle w:val="Style18"/>
        <w:widowControl w:val="false"/>
        <w:numPr>
          <w:ilvl w:val="0"/>
          <w:numId w:val="2"/>
        </w:numPr>
        <w:tabs>
          <w:tab w:val="left" w:pos="1134" w:leader="none"/>
        </w:tabs>
        <w:spacing w:lineRule="auto" w:line="360" w:before="0" w:after="0"/>
        <w:ind w:left="0" w:right="136" w:firstLine="85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Интерпретировать результаты метрик качества, визуализировать кластеры.</w:t>
      </w:r>
    </w:p>
    <w:p>
      <w:pPr>
        <w:pStyle w:val="Style18"/>
        <w:spacing w:lineRule="auto" w:line="360"/>
        <w:ind w:firstLine="82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Для реализации рекомендуется использовать язык программирования Python 3.x и библиотеки Pandas, Numpy, Sklearn, Matplotlib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описание выполнени</w:t>
      </w:r>
      <w:bookmarkStart w:id="0" w:name="_GoBack"/>
      <w:bookmarkEnd w:id="0"/>
      <w:r>
        <w:rPr>
          <w:rFonts w:ascii="Times New Roman" w:hAnsi="Times New Roman"/>
          <w:szCs w:val="28"/>
        </w:rPr>
        <w:t>я каждой из поставленных задач в виде текста и скриншотов программного кода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b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cs="Times New Roman" w:ascii="Times New Roman" w:hAnsi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>
      <w:pPr>
        <w:pStyle w:val="Normal"/>
        <w:spacing w:lineRule="auto" w:line="360"/>
        <w:rPr/>
      </w:pPr>
      <w:r>
        <w:rPr/>
      </w:r>
      <w:r>
        <w:br w:type="page"/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i w:val="false"/>
        </w:rPr>
        <w:t xml:space="preserve">Таблица </w:t>
      </w:r>
      <w:r>
        <w:rPr>
          <w:rFonts w:cs="Times New Roman" w:ascii="Times New Roman" w:hAnsi="Times New Roman"/>
          <w:i w:val="false"/>
        </w:rPr>
        <w:fldChar w:fldCharType="begin"/>
      </w:r>
      <w:r>
        <w:rPr>
          <w:i w:val="false"/>
          <w:rFonts w:cs="Times New Roman" w:ascii="Times New Roman" w:hAnsi="Times New Roman"/>
        </w:rPr>
        <w:instrText> SEQ Таблица \* ARABIC </w:instrText>
      </w:r>
      <w:r>
        <w:rPr>
          <w:i w:val="false"/>
          <w:rFonts w:cs="Times New Roman" w:ascii="Times New Roman" w:hAnsi="Times New Roman"/>
        </w:rPr>
        <w:fldChar w:fldCharType="separate"/>
      </w:r>
      <w:r>
        <w:rPr>
          <w:i w:val="false"/>
          <w:rFonts w:cs="Times New Roman" w:ascii="Times New Roman" w:hAnsi="Times New Roman"/>
        </w:rPr>
        <w:t>1</w:t>
      </w:r>
      <w:r>
        <w:rPr>
          <w:i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i w:val="false"/>
        </w:rPr>
        <w:t xml:space="preserve"> - наборы данных</w:t>
      </w:r>
    </w:p>
    <w:tbl>
      <w:tblPr>
        <w:tblStyle w:val="TableNormal"/>
        <w:tblW w:w="9639" w:type="dxa"/>
        <w:jc w:val="left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679"/>
        <w:gridCol w:w="4608"/>
        <w:gridCol w:w="4352"/>
      </w:tblGrid>
      <w:tr>
        <w:trPr>
          <w:trHeight w:val="47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b/>
                <w:kern w:val="0"/>
                <w:sz w:val="22"/>
                <w:szCs w:val="22"/>
                <w:lang w:val="en-US" w:eastAsia="en-US" w:bidi="ar-SA"/>
              </w:rPr>
              <w:t>№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b/>
                <w:kern w:val="0"/>
                <w:sz w:val="22"/>
                <w:szCs w:val="22"/>
                <w:lang w:val="en-US" w:eastAsia="en-US" w:bidi="ar-SA"/>
              </w:rPr>
              <w:t>Датасет</w:t>
            </w:r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ind w:left="96" w:hanging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b/>
                <w:kern w:val="0"/>
                <w:sz w:val="22"/>
                <w:szCs w:val="22"/>
                <w:lang w:val="en-US" w:eastAsia="en-US" w:bidi="ar-SA"/>
              </w:rPr>
              <w:t>Описание</w:t>
            </w:r>
          </w:p>
        </w:tc>
      </w:tr>
      <w:tr>
        <w:trPr>
          <w:trHeight w:val="101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Walmart Recruiting: Trip Type Classification</w:t>
            </w:r>
          </w:p>
          <w:p>
            <w:pPr>
              <w:pStyle w:val="TableParagraph"/>
              <w:widowControl w:val="false"/>
              <w:spacing w:lineRule="auto" w:line="252" w:before="17" w:after="0"/>
              <w:ind w:left="95" w:right="119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2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ttps://www.kaggle.com/c/walmart-recruiting-</w:t>
              </w:r>
            </w:hyperlink>
            <w:r>
              <w:rPr>
                <w:rFonts w:eastAsia="Calibri" w:cs="" w:ascii="Calibri" w:hAnsi="Calibri"/>
                <w:color w:val="1154CC"/>
                <w:spacing w:val="-62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t</w:t>
            </w:r>
            <w:hyperlink r:id="rId3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rip-type-classification/data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2" w:before="106" w:after="0"/>
              <w:ind w:left="96" w:right="167" w:hanging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en-US" w:eastAsia="en-US" w:bidi="ar-SA"/>
              </w:rPr>
              <w:t>Данные о посещениях магазина Walmart покупателями. Целевой признак: тип посещения магазина.</w:t>
            </w:r>
          </w:p>
        </w:tc>
      </w:tr>
      <w:tr>
        <w:trPr>
          <w:trHeight w:val="110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IEEE-CIS Fraud Detection</w:t>
            </w:r>
          </w:p>
          <w:p>
            <w:pPr>
              <w:pStyle w:val="TableParagraph"/>
              <w:widowControl w:val="false"/>
              <w:spacing w:lineRule="auto" w:line="280" w:before="47" w:after="0"/>
              <w:ind w:left="95" w:right="111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4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ttps://www.kaggle.com/c/ieee-fraud-detectio</w:t>
              </w:r>
            </w:hyperlink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n</w:t>
            </w:r>
            <w:hyperlink r:id="rId5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2" w:before="106" w:after="0"/>
              <w:ind w:left="96" w:right="402" w:hanging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ru-RU" w:eastAsia="en-US" w:bidi="ar-SA"/>
              </w:rPr>
              <w:t>Данные об онлайн-транзакциях. Целевой признак: является ли транзакция мошеннической</w:t>
            </w:r>
          </w:p>
        </w:tc>
      </w:tr>
      <w:tr>
        <w:trPr>
          <w:trHeight w:val="1015" w:hRule="atLeast"/>
        </w:trPr>
        <w:tc>
          <w:tcPr>
            <w:tcW w:w="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before="106" w:after="0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ascii="Calibri" w:hAnsi="Calibri"/>
                <w:kern w:val="0"/>
                <w:sz w:val="22"/>
                <w:szCs w:val="22"/>
                <w:lang w:val="en-US" w:eastAsia="en-US" w:bidi="ar-SA"/>
              </w:rPr>
              <w:t>Home Credit Default Risk</w:t>
            </w:r>
          </w:p>
          <w:p>
            <w:pPr>
              <w:pStyle w:val="TableParagraph"/>
              <w:widowControl w:val="false"/>
              <w:spacing w:lineRule="auto" w:line="252" w:before="17" w:after="0"/>
              <w:ind w:left="95" w:right="110" w:hanging="0"/>
              <w:rPr/>
            </w:pPr>
            <w:r>
              <w:rPr>
                <w:rFonts w:eastAsia="Calibri" w:cs="" w:ascii="Calibri" w:hAnsi="Calibri"/>
                <w:color w:val="1154CC"/>
                <w:spacing w:val="-123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h</w:t>
            </w:r>
            <w:hyperlink r:id="rId6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ttps://www.kaggle.com/c/home-credit-defaul</w:t>
              </w:r>
            </w:hyperlink>
            <w:r>
              <w:rPr>
                <w:rFonts w:eastAsia="Calibri" w:cs="" w:ascii="Calibri" w:hAnsi="Calibri"/>
                <w:color w:val="1154CC"/>
                <w:spacing w:val="-62"/>
                <w:kern w:val="0"/>
                <w:sz w:val="22"/>
                <w:szCs w:val="22"/>
                <w:u w:val="single" w:color="1154CC"/>
                <w:lang w:val="en-US" w:eastAsia="en-US" w:bidi="ar-SA"/>
              </w:rPr>
              <w:t>t</w:t>
            </w:r>
            <w:hyperlink r:id="rId7">
              <w:r>
                <w:rPr>
                  <w:rStyle w:val="ListLabel5"/>
                  <w:rFonts w:eastAsia="Calibri" w:cs="" w:ascii="Calibri" w:hAnsi="Calibri"/>
                  <w:color w:val="1154CC"/>
                  <w:kern w:val="0"/>
                  <w:sz w:val="22"/>
                  <w:szCs w:val="22"/>
                  <w:u w:val="single" w:color="1154CC"/>
                  <w:lang w:val="en-US" w:eastAsia="en-US" w:bidi="ar-SA"/>
                </w:rPr>
                <w:t>-risk/data</w:t>
              </w:r>
            </w:hyperlink>
          </w:p>
        </w:tc>
        <w:tc>
          <w:tcPr>
            <w:tcW w:w="4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52" w:before="106" w:after="0"/>
              <w:ind w:left="96" w:right="553" w:hanging="0"/>
              <w:rPr>
                <w:rFonts w:ascii="Calibri" w:hAnsi="Calibri" w:eastAsia="Calibri" w:cs="" w:asciiTheme="minorHAnsi" w:cstheme="minorBidi" w:eastAsiaTheme="minorHAnsi" w:hAnsiTheme="minorHAnsi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 w:ascii="Calibri" w:hAnsi="Calibri" w:cstheme="minorBidi" w:eastAsiaTheme="minorHAnsi"/>
                <w:kern w:val="0"/>
                <w:sz w:val="22"/>
                <w:szCs w:val="22"/>
                <w:lang w:val="ru-RU" w:eastAsia="en-US" w:bidi="ar-SA"/>
              </w:rPr>
              <w:t>Данные о заемщиках банка. Целевой признак: способен ли заёмщик выплатить кредит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Основной текст Знак"/>
    <w:basedOn w:val="DefaultParagraphFont"/>
    <w:link w:val="a5"/>
    <w:qFormat/>
    <w:rsid w:val="00104f68"/>
    <w:rPr/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character" w:styleId="ListLabel5">
    <w:name w:val="ListLabel 5"/>
    <w:qFormat/>
    <w:rPr>
      <w:color w:val="1154CC"/>
      <w:u w:val="single" w:color="1154CC"/>
    </w:rPr>
  </w:style>
  <w:style w:type="character" w:styleId="ListLabel6">
    <w:name w:val="ListLabel 6"/>
    <w:qFormat/>
    <w:rPr>
      <w:rFonts w:ascii="Calibri" w:hAnsi="Calibri" w:eastAsia="Calibri" w:cs=""/>
      <w:color w:val="1154CC"/>
      <w:kern w:val="0"/>
      <w:sz w:val="22"/>
      <w:szCs w:val="22"/>
      <w:u w:val="single" w:color="1154CC"/>
      <w:lang w:val="en-US" w:eastAsia="en-US" w:bidi="ar-SA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link w:val="a6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04f6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Paragraph">
    <w:name w:val="Table Paragraph"/>
    <w:basedOn w:val="Normal"/>
    <w:qFormat/>
    <w:pPr>
      <w:widowControl w:val="false"/>
      <w:spacing w:before="106" w:after="0"/>
      <w:ind w:left="95" w:hanging="0"/>
    </w:pPr>
    <w:rPr>
      <w:rFonts w:ascii="Arial" w:hAnsi="Arial" w:eastAsia="Arial" w:cs="Arial"/>
      <w:kern w:val="0"/>
      <w:sz w:val="22"/>
      <w:szCs w:val="22"/>
      <w:lang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c/walmart-recruiting-trip-type-classification/data" TargetMode="External"/><Relationship Id="rId3" Type="http://schemas.openxmlformats.org/officeDocument/2006/relationships/hyperlink" Target="https://www.kaggle.com/c/walmart-recruiting-trip-type-classification/data" TargetMode="External"/><Relationship Id="rId4" Type="http://schemas.openxmlformats.org/officeDocument/2006/relationships/hyperlink" Target="https://www.kaggle.com/c/ieee-fraud-detection/data" TargetMode="External"/><Relationship Id="rId5" Type="http://schemas.openxmlformats.org/officeDocument/2006/relationships/hyperlink" Target="https://www.kaggle.com/c/ieee-fraud-detection/data" TargetMode="External"/><Relationship Id="rId6" Type="http://schemas.openxmlformats.org/officeDocument/2006/relationships/hyperlink" Target="https://www.kaggle.com/c/home-credit-default-risk/data" TargetMode="External"/><Relationship Id="rId7" Type="http://schemas.openxmlformats.org/officeDocument/2006/relationships/hyperlink" Target="https://www.kaggle.com/c/home-credit-default-risk/data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LibreOffice/6.0.7.3$Linux_X86_64 LibreOffice_project/00m0$Build-3</Application>
  <Pages>2</Pages>
  <Words>188</Words>
  <Characters>1423</Characters>
  <CharactersWithSpaces>1567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2020-08-28T15:07:00Z</dcterms:created>
  <dc:creator/>
  <dc:description/>
  <dc:language>ru-RU</dc:language>
  <cp:lastModifiedBy/>
  <dcterms:modified xsi:type="dcterms:W3CDTF">2020-09-05T20:38:06Z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