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восстановления регрессии и её метрики качества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Ознакомиться с задачей восстановления регрессии, методами её </w:t>
      </w:r>
      <w:bookmarkStart w:id="0" w:name="_GoBack"/>
      <w:r>
        <w:rPr>
          <w:rFonts w:ascii="Times New Roman" w:hAnsi="Times New Roman"/>
        </w:rPr>
        <w:t xml:space="preserve">решения </w:t>
      </w:r>
      <w:bookmarkEnd w:id="0"/>
      <w:r>
        <w:rPr>
          <w:rFonts w:ascii="Times New Roman" w:hAnsi="Times New Roman"/>
        </w:rPr>
        <w:t>и оценки на практических примерах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соответствие с вариантом выбрать набор данных для задачи восстановления регрессии;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Обучить несколько различных моделей: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линейная регрессия;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ridge-регрессия (регуляризация Тихонова);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lasso-регрессия;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 помощью полученных моделей сделать прогноз для тестовых данных;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Оценить прогноз каждой из обученных моделей по следующим метрикам: 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средняя абсолютная ошибка;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средняя квадратическая ошибка;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0" w:after="0"/>
        <w:ind w:left="1541" w:right="124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коэффициент детерминации;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Интерпретировать результаты метрик качества;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Предоставить параметры обученных моделей.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реализации использовать язык программирования Python 3.x и библиотеки Pandas, Numpy, Sklearn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cs="Times New Roman" w:ascii="Times New Roman" w:hAnsi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  <w:r>
        <w:br w:type="page"/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i w:val="false"/>
        </w:rPr>
        <w:t xml:space="preserve">Таблица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Таблица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- наборы данных</w:t>
      </w:r>
    </w:p>
    <w:tbl>
      <w:tblPr>
        <w:tblStyle w:val="TableNormal"/>
        <w:tblW w:w="9639" w:type="dxa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9"/>
        <w:gridCol w:w="4608"/>
        <w:gridCol w:w="4352"/>
      </w:tblGrid>
      <w:tr>
        <w:trPr>
          <w:trHeight w:val="47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kern w:val="0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kern w:val="0"/>
                <w:sz w:val="24"/>
                <w:szCs w:val="24"/>
                <w:lang w:val="en-US" w:eastAsia="en-US" w:bidi="ar-SA"/>
              </w:rPr>
              <w:t>Датасет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6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</w:tr>
      <w:tr>
        <w:trPr>
          <w:trHeight w:val="101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House Prices: Advanced Regression Techniques</w:t>
            </w:r>
          </w:p>
          <w:p>
            <w:pPr>
              <w:pStyle w:val="TableParagraph"/>
              <w:rPr/>
            </w:pPr>
            <w:r>
              <w:rPr/>
              <w:t>h</w:t>
            </w:r>
            <w:hyperlink r:id="rId2">
              <w:r>
                <w:rPr>
                  <w:rStyle w:val="ListLabel66"/>
                </w:rPr>
                <w:t>ttps://www.kaggle.com/c/house-prices</w:t>
              </w:r>
            </w:hyperlink>
          </w:p>
          <w:p>
            <w:pPr>
              <w:pStyle w:val="TableParagraph"/>
              <w:rPr/>
            </w:pPr>
            <w:r>
              <w:rPr/>
              <w:t>-</w:t>
            </w:r>
            <w:hyperlink r:id="rId3">
              <w:r>
                <w:rPr>
                  <w:rStyle w:val="ListLabel66"/>
                </w:rPr>
                <w:t>advanced-regression-techniques/data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Данные о продаваемых домах и их характеристиках. Целевой признак: цена дома</w:t>
            </w:r>
          </w:p>
        </w:tc>
      </w:tr>
      <w:tr>
        <w:trPr>
          <w:trHeight w:val="110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2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Restaurant Revenue Prediction</w:t>
            </w:r>
          </w:p>
          <w:p>
            <w:pPr>
              <w:pStyle w:val="TableParagraph"/>
              <w:rPr/>
            </w:pPr>
            <w:r>
              <w:rPr/>
              <w:t>h</w:t>
            </w:r>
            <w:hyperlink r:id="rId4">
              <w:r>
                <w:rPr>
                  <w:rStyle w:val="ListLabel66"/>
                </w:rPr>
                <w:t>ttps://www.kaggle.com/c/restaurant-re</w:t>
              </w:r>
            </w:hyperlink>
            <w:r>
              <w:rPr/>
              <w:t>v</w:t>
            </w:r>
            <w:hyperlink r:id="rId5">
              <w:r>
                <w:rPr>
                  <w:rStyle w:val="ListLabel66"/>
                </w:rPr>
                <w:t>enue-prediction/data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Данные о ресторанах, их местоположении, типе и т.д. Целевой признак: выручка ресторана за год</w:t>
            </w:r>
          </w:p>
        </w:tc>
      </w:tr>
      <w:tr>
        <w:trPr>
          <w:trHeight w:val="101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3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Sberbank Russian Housing Market</w:t>
            </w:r>
          </w:p>
          <w:p>
            <w:pPr>
              <w:pStyle w:val="TableParagraph"/>
              <w:rPr/>
            </w:pPr>
            <w:r>
              <w:rPr/>
              <w:t>h</w:t>
            </w:r>
            <w:hyperlink r:id="rId6">
              <w:r>
                <w:rPr>
                  <w:rStyle w:val="ListLabel66"/>
                </w:rPr>
                <w:t>ttps://www.kaggle.com/c/sberbank-rus</w:t>
              </w:r>
            </w:hyperlink>
            <w:r>
              <w:rPr/>
              <w:t>s</w:t>
            </w:r>
            <w:hyperlink r:id="rId7">
              <w:r>
                <w:rPr>
                  <w:rStyle w:val="ListLabel66"/>
                </w:rPr>
                <w:t>ian-housing-market/data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5" w:hanging="0"/>
              <w:rPr/>
            </w:pPr>
            <w:r>
              <w:rPr/>
              <w:t>Данные о купленной недвижимости в России и макроэкономике России.</w:t>
            </w:r>
          </w:p>
          <w:p>
            <w:pPr>
              <w:pStyle w:val="TableParagraph"/>
              <w:rPr/>
            </w:pPr>
            <w:r>
              <w:rPr/>
              <w:t>Целевой признак: стоимость недвижимости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a5"/>
    <w:qFormat/>
    <w:rsid w:val="009d6c85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color w:val="1154CC"/>
      <w:u w:val="single" w:color="1154CC"/>
    </w:rPr>
  </w:style>
  <w:style w:type="character" w:styleId="ListLabel6">
    <w:name w:val="ListLabel 6"/>
    <w:qFormat/>
    <w:rPr>
      <w:rFonts w:ascii="Calibri" w:hAnsi="Calibri" w:eastAsia="Calibri" w:cs=""/>
      <w:color w:val="1154CC"/>
      <w:kern w:val="0"/>
      <w:sz w:val="22"/>
      <w:szCs w:val="22"/>
      <w:u w:val="single" w:color="1154CC"/>
      <w:lang w:val="en-US" w:eastAsia="en-US" w:bidi="ar-SA"/>
    </w:rPr>
  </w:style>
  <w:style w:type="character" w:styleId="ListLabel66">
    <w:name w:val="ListLabel 66"/>
    <w:qFormat/>
    <w:rPr>
      <w:color w:val="1154CC"/>
      <w:sz w:val="22"/>
      <w:u w:val="single" w:color="1154CC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6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d6c8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Paragraph">
    <w:name w:val="Table Paragraph"/>
    <w:basedOn w:val="Normal"/>
    <w:qFormat/>
    <w:pPr>
      <w:widowControl w:val="false"/>
      <w:spacing w:before="106" w:after="0"/>
      <w:ind w:left="95" w:hanging="0"/>
    </w:pPr>
    <w:rPr>
      <w:rFonts w:ascii="Arial" w:hAnsi="Arial" w:eastAsia="Arial" w:cs="Arial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house-prices-advanced-regression-techniques/data" TargetMode="External"/><Relationship Id="rId3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hyperlink" Target="https://www.kaggle.com/c/restaurant-revenue-prediction/data" TargetMode="External"/><Relationship Id="rId5" Type="http://schemas.openxmlformats.org/officeDocument/2006/relationships/hyperlink" Target="https://www.kaggle.com/c/restaurant-revenue-prediction/data" TargetMode="External"/><Relationship Id="rId6" Type="http://schemas.openxmlformats.org/officeDocument/2006/relationships/hyperlink" Target="https://www.kaggle.com/c/sberbank-russian-housing-market/data" TargetMode="External"/><Relationship Id="rId7" Type="http://schemas.openxmlformats.org/officeDocument/2006/relationships/hyperlink" Target="https://www.kaggle.com/c/sberbank-russian-housing-market/dat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217</Words>
  <Characters>1614</Characters>
  <CharactersWithSpaces>1778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/>
  <dc:description/>
  <dc:language>ru-RU</dc:language>
  <cp:lastModifiedBy/>
  <dcterms:modified xsi:type="dcterms:W3CDTF">2020-09-05T21:04:06Z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