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第34课：GMM——将“混”在一起的样本各归其源</w:t>
      </w:r>
    </w:p>
    <w:p>
      <w:r>
        <w:rPr>
          <w:rFonts w:hint="default"/>
        </w:rPr>
        <w:t>在特征空间中的样本，其实都是有各自的归属的。本来一个特定的样本就应该属于一个特定的簇。</w:t>
      </w:r>
    </w:p>
    <w:p>
      <w:pPr>
        <w:rPr>
          <w:rFonts w:hint="default"/>
        </w:rPr>
      </w:pPr>
      <w:r>
        <w:rPr>
          <w:rFonts w:hint="default"/>
        </w:rPr>
        <w:t>只不过，在我们拿到样本的时候，原本属于不同簇的若干样本在特征空间中“混在了一起”。</w:t>
      </w:r>
    </w:p>
    <w:p>
      <w:pPr>
        <w:rPr>
          <w:rFonts w:hint="default"/>
        </w:rPr>
      </w:pPr>
      <w:r>
        <w:rPr>
          <w:rFonts w:hint="default"/>
        </w:rPr>
        <w:t>我们要做的，其实是把它们按照原本的归属区分开。</w:t>
      </w:r>
    </w:p>
    <w:p>
      <w:r>
        <w:drawing>
          <wp:inline distT="0" distB="0" distL="114300" distR="114300">
            <wp:extent cx="3604895" cy="2708910"/>
            <wp:effectExtent l="0" t="0" r="14605" b="15240"/>
            <wp:docPr id="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2708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ans-serif" w:hAnsi="sans-serif" w:eastAsia="宋体" w:cs="sans-serif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</w:pPr>
      <w:r>
        <w:rPr>
          <w:rFonts w:ascii="sans-serif" w:hAnsi="sans-serif" w:eastAsia="sans-serif" w:cs="sans-serif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小机器人是个色盲</w:t>
      </w:r>
      <w:r>
        <w:rPr>
          <w:rFonts w:hint="eastAsia" w:ascii="sans-serif" w:hAnsi="sans-serif" w:eastAsia="宋体" w:cs="sans-serif"/>
          <w:b w:val="0"/>
          <w:i w:val="0"/>
          <w:caps w:val="0"/>
          <w:color w:val="3F3F3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sans-serif" w:hAnsi="sans-serif" w:eastAsia="sans-serif" w:cs="sans-serif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看到的厨房地板是下图这个样子的：</w:t>
      </w:r>
    </w:p>
    <w:p>
      <w:r>
        <w:drawing>
          <wp:inline distT="0" distB="0" distL="114300" distR="114300">
            <wp:extent cx="3837305" cy="2887345"/>
            <wp:effectExtent l="0" t="0" r="10795" b="8255"/>
            <wp:docPr id="8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6"/>
          <w:szCs w:val="26"/>
          <w:shd w:val="clear" w:fill="FFFFFF"/>
        </w:rPr>
        <w:t>直观分布</w:t>
      </w:r>
    </w:p>
    <w:p>
      <w:r>
        <w:drawing>
          <wp:inline distT="0" distB="0" distL="114300" distR="114300">
            <wp:extent cx="4285615" cy="3267710"/>
            <wp:effectExtent l="0" t="0" r="635" b="8890"/>
            <wp:docPr id="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6"/>
          <w:szCs w:val="26"/>
          <w:shd w:val="clear" w:fill="FFFFFF"/>
        </w:rPr>
        <w:t>形式化分布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</w:pPr>
      <w:r>
        <w:rPr>
          <w:rFonts w:ascii="sans-serif" w:hAnsi="sans-serif" w:eastAsia="sans-serif" w:cs="sans-serif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我们可以假定它们的概率密度函数分别是：</w:t>
      </w:r>
      <w:r>
        <w:rPr>
          <w:rFonts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ϕ</w:t>
      </w:r>
      <w:r>
        <w:rPr>
          <w:rFonts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1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)</w:t>
      </w:r>
      <w:r>
        <w:rPr>
          <w:rFonts w:ascii="Cambria Math" w:hAnsi="Cambria Math" w:eastAsia="Cambria Math" w:cs="Cambria Math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、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ϕ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2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)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ϕ1(x)、ϕ2(x)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和 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ϕ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19"/>
          <w:szCs w:val="19"/>
          <w:shd w:val="clear" w:fill="FFFFFF"/>
        </w:rPr>
        <w:t>3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(</w:t>
      </w:r>
      <w:r>
        <w:rPr>
          <w:rFonts w:hint="default" w:ascii="MJXc-TeX-math-Iw" w:hAnsi="MJXc-TeX-math-Iw" w:eastAsia="MJXc-TeX-math-Iw" w:cs="MJXc-TeX-math-I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x</w:t>
      </w:r>
      <w:r>
        <w:rPr>
          <w:rFonts w:hint="default" w:ascii="MJXc-TeX-main-Rw" w:hAnsi="MJXc-TeX-main-Rw" w:eastAsia="MJXc-TeX-main-Rw" w:cs="MJXc-TeX-main-Rw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)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3F3F3F"/>
          <w:spacing w:val="0"/>
          <w:sz w:val="28"/>
          <w:szCs w:val="28"/>
          <w:shd w:val="clear" w:fill="FFFFFF"/>
        </w:rPr>
        <w:t>ϕ3(x)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。</w:t>
      </w:r>
      <w:r>
        <w:drawing>
          <wp:inline distT="0" distB="0" distL="114300" distR="114300">
            <wp:extent cx="4206240" cy="2926715"/>
            <wp:effectExtent l="0" t="0" r="3810" b="6985"/>
            <wp:docPr id="8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926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default"/>
          <w:b/>
          <w:bCs/>
        </w:rPr>
        <w:t>已知分布条件下的样本归属</w:t>
      </w:r>
    </w:p>
    <w:p>
      <w:r>
        <w:drawing>
          <wp:inline distT="0" distB="0" distL="114300" distR="114300">
            <wp:extent cx="4398645" cy="3370580"/>
            <wp:effectExtent l="0" t="0" r="1905" b="1270"/>
            <wp:docPr id="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第35课：GMM——用 EM 算法求解 GMM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FFFFF"/>
        </w:rPr>
        <w:t>高斯分布</w:t>
      </w:r>
    </w:p>
    <w:p>
      <w:r>
        <w:drawing>
          <wp:inline distT="0" distB="0" distL="114300" distR="114300">
            <wp:extent cx="4737735" cy="3097530"/>
            <wp:effectExtent l="0" t="0" r="5715" b="7620"/>
            <wp:docPr id="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26"/>
          <w:szCs w:val="26"/>
          <w:shd w:val="clear" w:fill="FFFFFF"/>
        </w:rPr>
        <w:t>中心极限定理</w:t>
      </w:r>
    </w:p>
    <w:p>
      <w:r>
        <w:drawing>
          <wp:inline distT="0" distB="0" distL="114300" distR="114300">
            <wp:extent cx="4518660" cy="4239260"/>
            <wp:effectExtent l="0" t="0" r="15240" b="8890"/>
            <wp:docPr id="8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239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</w:rPr>
      </w:pPr>
      <w:r>
        <w:rPr>
          <w:rFonts w:hint="default" w:ascii="sans-serif" w:hAnsi="sans-serif" w:eastAsia="sans-serif" w:cs="sans-serif"/>
          <w:i w:val="0"/>
          <w:caps w:val="0"/>
          <w:color w:val="3F3F3F"/>
          <w:spacing w:val="0"/>
          <w:sz w:val="35"/>
          <w:szCs w:val="35"/>
          <w:shd w:val="clear" w:fill="FFFFFF"/>
        </w:rPr>
        <w:t>高斯混合模型（GMM）</w:t>
      </w:r>
    </w:p>
    <w:p>
      <w:r>
        <w:drawing>
          <wp:inline distT="0" distB="0" distL="114300" distR="114300">
            <wp:extent cx="4694555" cy="2625090"/>
            <wp:effectExtent l="0" t="0" r="10795" b="3810"/>
            <wp:docPr id="8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17" w:lineRule="atLeast"/>
        <w:ind w:left="0" w:right="0" w:firstLine="0"/>
        <w:rPr>
          <w:rFonts w:ascii="sans-serif" w:hAnsi="sans-serif" w:eastAsia="sans-serif" w:cs="sans-serif"/>
          <w:b/>
          <w:bCs w:val="0"/>
          <w:i w:val="0"/>
          <w:caps w:val="0"/>
          <w:color w:val="3F3F3F"/>
          <w:spacing w:val="0"/>
          <w:sz w:val="26"/>
          <w:szCs w:val="26"/>
        </w:rPr>
      </w:pPr>
      <w:r>
        <w:rPr>
          <w:rFonts w:hint="default" w:ascii="sans-serif" w:hAnsi="sans-serif" w:eastAsia="sans-serif" w:cs="sans-serif"/>
          <w:b/>
          <w:bCs w:val="0"/>
          <w:i w:val="0"/>
          <w:caps w:val="0"/>
          <w:color w:val="3F3F3F"/>
          <w:spacing w:val="0"/>
          <w:sz w:val="26"/>
          <w:szCs w:val="26"/>
          <w:shd w:val="clear" w:fill="FFFFFF"/>
        </w:rPr>
        <w:t>GMM 的对数似然函数</w:t>
      </w:r>
    </w:p>
    <w:p>
      <w:r>
        <w:drawing>
          <wp:inline distT="0" distB="0" distL="114300" distR="114300">
            <wp:extent cx="5272405" cy="5694680"/>
            <wp:effectExtent l="0" t="0" r="4445" b="1270"/>
            <wp:docPr id="8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9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  <w:r>
        <w:rPr>
          <w:rFonts w:hint="default"/>
          <w:b/>
          <w:bCs/>
        </w:rPr>
        <w:t>用 EM 算法学习 GMM 的参数</w:t>
      </w:r>
    </w:p>
    <w:p>
      <w:r>
        <w:drawing>
          <wp:inline distT="0" distB="0" distL="114300" distR="114300">
            <wp:extent cx="4685665" cy="1780540"/>
            <wp:effectExtent l="0" t="0" r="635" b="10160"/>
            <wp:docPr id="8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th-I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JXc-TeX-main-R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8F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peter</dc:creator>
  <cp:lastModifiedBy>peter</cp:lastModifiedBy>
  <dcterms:modified xsi:type="dcterms:W3CDTF">2018-12-12T11:32:49Z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