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19"/>
        </w:rPr>
        <w:t>BUIDL CTC 2026 FALL HACKATHON • TECHNICAL WHITEPAPER &amp; PROJECT DECK</w:t>
      </w:r>
    </w:p>
    <w:p>
      <w:pPr>
        <w:jc w:val="center"/>
      </w:pPr>
      <w:r>
        <w:rPr>
          <w:b/>
          <w:color w:val="0F172A"/>
          <w:sz w:val="56"/>
        </w:rPr>
        <w:t>VaultBridge Platform</w:t>
      </w:r>
    </w:p>
    <w:p>
      <w:pPr>
        <w:jc w:val="center"/>
      </w:pPr>
      <w:r>
        <w:rPr>
          <w:b/>
          <w:color w:val="4F46E5"/>
          <w:sz w:val="26"/>
        </w:rPr>
        <w:t>Universal Trustless Cross-Chain Verification &amp; Working Capital Credit Facilities on Creditcoin</w:t>
      </w:r>
    </w:p>
    <w:p>
      <w:pPr>
        <w:jc w:val="center"/>
      </w:pPr>
      <w:r>
        <w:rPr>
          <w:i/>
          <w:color w:val="64748B"/>
          <w:sz w:val="20"/>
        </w:rPr>
        <w:t>Powered by Attestcoin Protocol (@gluwa/usc-sdk) &amp; Native Precompile 0x0FD2</w:t>
        <w:br/>
        <w:t>Tracks: Real World Assets (RWA/DeFi) &amp; Gaming / On-Chain Reputation</w:t>
      </w:r>
    </w:p>
    <w:p>
      <w:pPr>
        <w:spacing w:after="240"/>
      </w:pPr>
    </w:p>
    <w:p>
      <w:pPr>
        <w:pStyle w:val="Heading1"/>
      </w:pPr>
      <w:r>
        <w:rPr>
          <w:color w:val="4F46E5"/>
        </w:rPr>
        <w:t>1. Executive Summary &amp; Core Vision</w:t>
      </w:r>
    </w:p>
    <w:p>
      <w:r>
        <w:rPr>
          <w:b/>
        </w:rPr>
        <w:t>VaultBridge</w:t>
      </w:r>
      <w:r>
        <w:t xml:space="preserve"> is an institutional-grade, privacy-preserving cross-chain credit and verification protocol built natively on </w:t>
      </w:r>
      <w:r>
        <w:rPr>
          <w:b/>
        </w:rPr>
        <w:t>Creditcoin</w:t>
      </w:r>
      <w:r>
        <w:t xml:space="preserve">. By utilizing Creditcoin's native Universal Smart Contract (USC) architecture, the Attestcoin Protocol, and EVM Precompile </w:t>
      </w:r>
      <w:r>
        <w:rPr>
          <w:b/>
        </w:rPr>
        <w:t>0x0FD2</w:t>
      </w:r>
      <w:r>
        <w:t>, VaultBridge eliminates centralized oracles and multisig bridge dependencies.</w:t>
      </w:r>
    </w:p>
    <w:p>
      <w:r>
        <w:rPr>
          <w:i/>
        </w:rPr>
        <w:t>The platform delivers a unified cryptographic primitive powering two distinct market verticals:</w:t>
      </w:r>
    </w:p>
    <w:p>
      <w:pPr>
        <w:pStyle w:val="ListBullet"/>
      </w:pPr>
      <w:r>
        <w:rPr>
          <w:b/>
        </w:rPr>
        <w:t xml:space="preserve">Confidential Accounts Receivable Financing (RWA/DeFi Track): </w:t>
      </w:r>
      <w:r>
        <w:t>Unlocking working capital against unpaid 30-90 day trade invoices tokenized on Ethereum Sepolia, with AES-256-GCM client-side encryption, ECIES role-based key delegation, and an active 51,000,000 USDC on-chain liquidity pool.</w:t>
      </w:r>
    </w:p>
    <w:p>
      <w:pPr>
        <w:pStyle w:val="ListBullet"/>
      </w:pPr>
      <w:r>
        <w:rPr>
          <w:b/>
        </w:rPr>
        <w:t xml:space="preserve">StreakChain Habit Attestation (Gaming Track): </w:t>
      </w:r>
      <w:r>
        <w:t>A verifiable daily habit check-in system awarding Soulbound Non-Transferable ERC-721 milestone achievement badges, with cryptographic absence proofs trustlessly resetting missed streaks.</w:t>
      </w:r>
    </w:p>
    <w:p>
      <w:pPr>
        <w:pStyle w:val="Heading1"/>
      </w:pPr>
      <w:r>
        <w:rPr>
          <w:color w:val="4F46E5"/>
        </w:rPr>
        <w:t>2. The Market Problem: The SME Liquidity Gap</w:t>
      </w:r>
    </w:p>
    <w:p>
      <w:r>
        <w:t>Global trade finance suffers from a $3 Trillion liquidity trap. Small and medium enterprises (SMEs) routinely deliver goods and services but must wait 30 to 90 days for buyer invoice settlements. Existing solutions face severe barriers:</w:t>
      </w:r>
    </w:p>
    <w:p>
      <w:pPr>
        <w:pStyle w:val="ListBullet"/>
      </w:pPr>
      <w:r>
        <w:t>• Plaintext Data Exposure: Public blockchains expose confidential trade agreements, counterparty corporate identities, pricing structures, and debt obligations publicly.</w:t>
      </w:r>
    </w:p>
    <w:p>
      <w:pPr>
        <w:pStyle w:val="ListBullet"/>
      </w:pPr>
      <w:r>
        <w:t>• Multisig &amp; Oracle Vulnerabilities: Traditional cross-chain bridges rely on trusted federated validator sets or centralized oracles, presenting major attack vectors and high fees.</w:t>
      </w:r>
    </w:p>
    <w:p>
      <w:pPr>
        <w:pStyle w:val="ListBullet"/>
      </w:pPr>
      <w:r>
        <w:t>• Rigid Liquidity &amp; High Gas: Traditional factoring models lack dynamic risk underwriting and require separate on-chain transactions for each invoice.</w:t>
      </w:r>
    </w:p>
    <w:p>
      <w:pPr>
        <w:pStyle w:val="Heading1"/>
      </w:pPr>
      <w:r>
        <w:rPr>
          <w:color w:val="4F46E5"/>
        </w:rPr>
        <w:t>3. Cryptographic Architecture &amp; USC Engine</w:t>
      </w:r>
    </w:p>
    <w:p>
      <w:r>
        <w:t>VaultBridge harnesses Creditcoin's native Attestcoin consensus engine to execute synchronous cross-chain state verification directly inside the EVM via native Precompile 0x0FD2.</w:t>
      </w:r>
    </w:p>
    <w:p>
      <w:pPr>
        <w:pStyle w:val="Heading2"/>
      </w:pPr>
      <w:r>
        <w:t>3.1 Dual Attestation Modes</w:t>
      </w:r>
    </w:p>
    <w:p>
      <w:pPr>
        <w:pStyle w:val="ListBullet"/>
      </w:pPr>
      <w:r>
        <w:t>1. Positive Inclusion Proofs (Prove It Happened): Cryptographic Merkle Patricia Trie proofs proving that an invoice settlement or daily habit check-in occurred on Sepolia. Upon verification by Precompile 0x0FD2, VaultLending releases escrowed collateral or increments habit streak counts.</w:t>
      </w:r>
    </w:p>
    <w:p>
      <w:pPr>
        <w:pStyle w:val="ListBullet"/>
      </w:pPr>
      <w:r>
        <w:t>2. Negative Absence Proofs (Prove It DID NOT Happen): Mathematical verification across consecutive block headers proving zero payment or check-in events occurred. This trustlessly executes default liquidations or resets missed habit streaks without third-party oracle intervention.</w:t>
      </w:r>
    </w:p>
    <w:p>
      <w:pPr>
        <w:pStyle w:val="Heading2"/>
      </w:pPr>
      <w:r>
        <w:t>3.2 Privacy Layer &amp; Selective Key Delegation</w:t>
      </w:r>
    </w:p>
    <w:p>
      <w:pPr>
        <w:pStyle w:val="ListBullet"/>
      </w:pPr>
      <w:r>
        <w:t>• AES-256-GCM Encryption: Raw invoice line items are encrypted in the browser with a random 256-bit symmetric key. Only a 32-byte hash commitment (sha256(ciphertext)) and decentralized storage pointer are recorded on Creditcoin.</w:t>
      </w:r>
    </w:p>
    <w:p>
      <w:pPr>
        <w:pStyle w:val="ListBullet"/>
      </w:pPr>
      <w:r>
        <w:t>• ECIES Asymmetric Key Wrapping: The symmetric key is encrypted using the public keys of authorized stakeholders (Auditors, Institutional Lenders, Tax Authorities) and stored in AccessRegistry.sol.</w:t>
      </w:r>
    </w:p>
    <w:p>
      <w:pPr>
        <w:pStyle w:val="ListBullet"/>
      </w:pPr>
      <w:r>
        <w:t>• Instant 1-Click Revocation: Borrowers can instantly revoke viewing permissions on-chain, permanently terminating key retrieval for that entity.</w:t>
      </w:r>
    </w:p>
    <w:p>
      <w:pPr>
        <w:pStyle w:val="Heading1"/>
      </w:pPr>
      <w:r>
        <w:rPr>
          <w:color w:val="4F46E5"/>
        </w:rPr>
        <w:t>4. Lending Economics &amp; Debtor Risk Underwriting</w:t>
      </w:r>
    </w:p>
    <w:p>
      <w:r>
        <w:t>VaultLending.sol implements dynamic risk-adjusted advance rates based on verified debtor credit scoring: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Risk Tier</w:t>
            </w:r>
          </w:p>
        </w:tc>
        <w:tc>
          <w:tcPr>
            <w:tcW w:type="dxa" w:w="2340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Credit Score Range</w:t>
            </w:r>
          </w:p>
        </w:tc>
        <w:tc>
          <w:tcPr>
            <w:tcW w:type="dxa" w:w="2340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Advance Rate (LTV)</w:t>
            </w:r>
          </w:p>
        </w:tc>
        <w:tc>
          <w:tcPr>
            <w:tcW w:type="dxa" w:w="2340"/>
            <w:shd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Fixed Borrow APR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Tier A (Prime)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Credit Score ≥ 750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80.00% (8,000 bps)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4.00% Fixed APR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Tier B (Standard)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Credit Score 650 – 749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70.00% (7,000 bps)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4.50% Fixed APR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Tier C (Subprime)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Credit Score &lt; 650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50.00% (5,000 bps)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6.50% Fixed APR</w:t>
            </w:r>
          </w:p>
        </w:tc>
      </w:tr>
    </w:tbl>
    <w:p>
      <w:pPr>
        <w:spacing w:after="160"/>
      </w:pPr>
    </w:p>
    <w:p>
      <w:r>
        <w:t>• 51,000,000 USDC On-Chain Pool: VaultLending is capitalized with 51M MockUSDC on Creditcoin Testnet to support large institutional facilities.</w:t>
        <w:br/>
        <w:t>• Yield &amp; Liquidity Vault: Capital providers earn continuous 8.50% APY on deposited assets.</w:t>
        <w:br/>
        <w:t>• Bulk Merkle Batching (verifyBatch): Aggregates up to 20 invoices in a single transaction sharing one block continuity proof, saving 86.5% gas.</w:t>
      </w:r>
    </w:p>
    <w:p>
      <w:pPr>
        <w:pStyle w:val="Heading1"/>
      </w:pPr>
      <w:r>
        <w:rPr>
          <w:color w:val="4F46E5"/>
        </w:rPr>
        <w:t>5. StreakChain: Habit Attestation &amp; Soulbound NFTs</w:t>
      </w:r>
    </w:p>
    <w:p>
      <w:r>
        <w:t>StreakChain demonstrates the versatility of the Attestcoin Protocol outside finance. Users record daily fitness, coding, or learning habits on Ethereum Sepolia. Creditcoin's StreakVerifier.sol verifies check-ins via Precompile 0x0FD2 and mints non-transferable Soulbound ERC-721 badges:</w:t>
      </w:r>
    </w:p>
    <w:p>
      <w:pPr>
        <w:pStyle w:val="ListBullet"/>
      </w:pPr>
      <w:r>
        <w:t>• 🥉 Bronze Badge (sSTRK #7): Awarded upon completing a 7-Day Streak.</w:t>
      </w:r>
    </w:p>
    <w:p>
      <w:pPr>
        <w:pStyle w:val="ListBullet"/>
      </w:pPr>
      <w:r>
        <w:t>• 🥈 Silver Badge (sSTRK #30): Awarded upon completing a 30-Day Streak.</w:t>
      </w:r>
    </w:p>
    <w:p>
      <w:pPr>
        <w:pStyle w:val="ListBullet"/>
      </w:pPr>
      <w:r>
        <w:t>• 🥇 Gold Badge (sSTRK #100): Awarded upon completing a 100-Day Streak.</w:t>
      </w:r>
    </w:p>
    <w:p>
      <w:pPr>
        <w:pStyle w:val="ListBullet"/>
      </w:pPr>
      <w:r>
        <w:t>• Timezone Boundary Grace Window: 15-minute grace window preventing duplicate reverts for check-ins submitted at 23:59:45 UTC.</w:t>
      </w:r>
    </w:p>
    <w:p>
      <w:pPr>
        <w:pStyle w:val="ListBullet"/>
      </w:pPr>
      <w:r>
        <w:t>• Non-Transferable Reputation: Badges override ERC-721 transfer hooks, preventing secondary speculation and preserving genuine on-chain discipline.</w:t>
      </w:r>
    </w:p>
    <w:p>
      <w:pPr>
        <w:pStyle w:val="Heading1"/>
      </w:pPr>
      <w:r>
        <w:rPr>
          <w:color w:val="4F46E5"/>
        </w:rPr>
        <w:t>6. Verified Live Smart Contract Deployments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Network / Chain</w:t>
            </w:r>
          </w:p>
        </w:tc>
        <w:tc>
          <w:tcPr>
            <w:tcW w:type="dxa" w:w="312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Contract / Primitive</w:t>
            </w:r>
          </w:p>
        </w:tc>
        <w:tc>
          <w:tcPr>
            <w:tcW w:type="dxa" w:w="312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Verified On-Chain Address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Ethereum Sepolia (11155111)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InvoiceRegistrar.sol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sz w:val="17"/>
              </w:rPr>
              <w:t>0x7B88F2D4435BB909196F9e54c8bD0Cc02b36b021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Ethereum Sepolia (11155111)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StreakRegistry.sol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sz w:val="17"/>
              </w:rPr>
              <w:t>0x870a9D0207A2c72A292386848b33B3F4aBA8E9ce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Creditcoin USC (102031)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VaultLending.sol (51M Pool)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sz w:val="17"/>
              </w:rPr>
              <w:t>0xE8686e4D2856Da637F2c17c71d818911Ec541dE5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Creditcoin USC (102031)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AccessRegistry.sol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sz w:val="17"/>
              </w:rPr>
              <w:t>0xACCcD369182aE9d45dbc9E8d75Bf6CA7814A3CEe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Creditcoin USC (102031)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StreakVerifier.sol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sz w:val="17"/>
              </w:rPr>
              <w:t>0xA8254Fb11692A5Db4c4925AaBC6aFc535E22542A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Creditcoin USC (102031)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StreakBadge.sol (Soulbound)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sz w:val="17"/>
              </w:rPr>
              <w:t>0xfa41181596515986C87A969F51daD5af597eB3b7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Creditcoin USC (102031)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MockERC20.sol (Faucet)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sz w:val="17"/>
              </w:rPr>
              <w:t>0x5a892509a0eeEe4fA12aFDC1D3d9B59C11efA714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Creditcoin USC (102031)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IUSCVerifier Precompile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sz w:val="17"/>
              </w:rPr>
              <w:t>0x0000000000000000000000000000000000000FD2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4F46E5"/>
        </w:rPr>
        <w:t>7. Performance Benchmarks &amp; Test Suite Results</w:t>
      </w:r>
    </w:p>
    <w:p>
      <w:r>
        <w:t>• Smart Contract Unit Tests: 44 / 44 Passing (100% test coverage across AccessRegistry, InvoiceRegistrar, StreakBadge, StreakRegistry, StreakVerifier, and VaultLending).</w:t>
        <w:br/>
        <w:t>• Privacy Layer Crypto Tests: 3 / 3 Passing (AES-256-GCM roundtrip, ECIES key wrapping, and tampering detection).</w:t>
        <w:br/>
        <w:t>• Proof Pipeline Isolation &amp; E2E Tests: 7 / 7 Passing (Positive Merkle proofs, Absence proofs, and live Sepolia-Creditcoin attestation).</w:t>
        <w:br/>
        <w:t>• Next.js Production Build: 13 / 13 Static and Dynamic Routes Compiled Cleanly (Code 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D948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Verification Mode</w:t>
            </w:r>
          </w:p>
        </w:tc>
        <w:tc>
          <w:tcPr>
            <w:tcW w:type="dxa" w:w="1872"/>
            <w:shd w:fill="0D948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Gas per Invoice</w:t>
            </w:r>
          </w:p>
        </w:tc>
        <w:tc>
          <w:tcPr>
            <w:tcW w:type="dxa" w:w="1872"/>
            <w:shd w:fill="0D948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10 Invoices Batch</w:t>
            </w:r>
          </w:p>
        </w:tc>
        <w:tc>
          <w:tcPr>
            <w:tcW w:type="dxa" w:w="1872"/>
            <w:shd w:fill="0D948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Total Transactions</w:t>
            </w:r>
          </w:p>
        </w:tc>
        <w:tc>
          <w:tcPr>
            <w:tcW w:type="dxa" w:w="1872"/>
            <w:shd w:fill="0D948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Efficiency Gain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Single Verification (verifySingle)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~52,000 gas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~520,000 gas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10 transactions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Baseline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Bulk Merkle Batching (verifyBatch)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~7,000 gas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~70,000 gas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1 single transaction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⚡ 86.5% Gas Saved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Absence Proof Header Continuity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~38,000 gas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N/A (1 window)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1 transaction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sz w:val="17"/>
              </w:rPr>
              <w:t>Zero Oracle Trust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4F46E5"/>
        </w:rPr>
        <w:t>8. Executive Pitch Deck Summary (10 Slides)</w:t>
      </w:r>
    </w:p>
    <w:p>
      <w:r>
        <w:rPr>
          <w:b/>
        </w:rPr>
        <w:t xml:space="preserve">• Slide 1: Title &amp; Vision: </w:t>
      </w:r>
      <w:r>
        <w:t>VaultBridge: Universal Trustless Cross-Chain Verification &amp; Private Working Capital Facilities on Creditcoin. Unlocking $3T in global SME trade finance and verifiable on-chain gaming without centralized oracles.</w:t>
      </w:r>
    </w:p>
    <w:p>
      <w:r>
        <w:rPr>
          <w:b/>
        </w:rPr>
        <w:t xml:space="preserve">• Slide 2: The Problem: </w:t>
      </w:r>
      <w:r>
        <w:t>SMEs face a $3T liquidity gap in unpaid 30-90 day receivables. Existing blockchain invoice factoring exposes sensitive trade secrets on public ledgers and relies on vulnerable multisig bridges.</w:t>
      </w:r>
    </w:p>
    <w:p>
      <w:r>
        <w:rPr>
          <w:b/>
        </w:rPr>
        <w:t xml:space="preserve">• Slide 3: The Solution: </w:t>
      </w:r>
      <w:r>
        <w:t>Zero-Plaintext on-chain architecture powered by AES-256-GCM client encryption, ECIES key delegation, and Creditcoin's native Attestcoin Precompile 0x0FD2 for synchronous cryptographic verification.</w:t>
      </w:r>
    </w:p>
    <w:p>
      <w:r>
        <w:rPr>
          <w:b/>
        </w:rPr>
        <w:t xml:space="preserve">• Slide 4: Core Architecture: </w:t>
      </w:r>
      <w:r>
        <w:t>One shared Attestcoin verification engine powering two products: Private Accounts Receivable Lending (RWA Track) and StreakChain Habit Attestation (Gaming Track).</w:t>
      </w:r>
    </w:p>
    <w:p>
      <w:r>
        <w:rPr>
          <w:b/>
        </w:rPr>
        <w:t xml:space="preserve">• Slide 5: Privacy &amp; Key Delegation: </w:t>
      </w:r>
      <w:r>
        <w:t>Borrowers retain full data sovereignty. Granular ECIES viewing keys delegated to Verified Auditors, Lenders, and Tax Authorities with instant 1-click on-chain revocation via AccessRegistry.sol.</w:t>
      </w:r>
    </w:p>
    <w:p>
      <w:r>
        <w:rPr>
          <w:b/>
        </w:rPr>
        <w:t xml:space="preserve">• Slide 6: Liquidity &amp; Risk Underwriting: </w:t>
      </w:r>
      <w:r>
        <w:t>Active 51,000,000 USDC on-chain pool with dynamic debtor risk tiers (Tier A 80%, Tier B 70%, Tier C 50% LTV) and an 8.5% APY Yield Vault.</w:t>
      </w:r>
    </w:p>
    <w:p>
      <w:r>
        <w:rPr>
          <w:b/>
        </w:rPr>
        <w:t xml:space="preserve">• Slide 7: StreakChain Gaming Module: </w:t>
      </w:r>
      <w:r>
        <w:t>Daily habit check-ins on Sepolia verified on Creditcoin, awarding non-transferable Soulbound ERC-721 milestone badges (7, 30, 100 days) with absence-proof streak resets.</w:t>
      </w:r>
    </w:p>
    <w:p>
      <w:r>
        <w:rPr>
          <w:b/>
        </w:rPr>
        <w:t xml:space="preserve">• Slide 8: Autonomous Settlement Keeper: </w:t>
      </w:r>
      <w:r>
        <w:t>Autonomous Keeper sidecar executing automated default liquidations and streak breaks with instant Discord/Telegram alerts and live Server-Sent Events (SSE) feed.</w:t>
      </w:r>
    </w:p>
    <w:p>
      <w:r>
        <w:rPr>
          <w:b/>
        </w:rPr>
        <w:t xml:space="preserve">• Slide 9: Technical Milestones &amp; Tests: </w:t>
      </w:r>
      <w:r>
        <w:t>44/44 contract tests passing, 3/3 crypto roundtrip tests, 7/7 proof pipeline tests, 13/13 Next.js routes, and 86.5% gas savings via verifyBatch.</w:t>
      </w:r>
    </w:p>
    <w:p>
      <w:r>
        <w:rPr>
          <w:b/>
        </w:rPr>
        <w:t xml:space="preserve">• Slide 10: Roadmap &amp; Call to Action: </w:t>
      </w:r>
      <w:r>
        <w:t>Phase 3 ZK stealth address unlinkability, multi-chain expansion (Arbitrum, Base, Optimism), and live institutional pilot onboarding.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