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x1y6hum0ln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2.2.5.4. Текстовое и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графическое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всех прецедентов системы с позиции пользователя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Прецедент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Акторы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Регистрация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 регистрируется в системе, предоставляя некоторые личные данные и соглашаясь с условиями пользования нашими услугами.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Возможность авторизации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 авторизуется в системе, при необходимости пройдя двухфакторную проверку.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Составление и оформление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 выбирает блюда и количество порций, добавляя их в “Корзину”.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Подтверждение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необходимости оператор звонит клиенту и спрашивает личное подтверждение. Иначе администратор меняет статус заказа на соответствующий.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Клиент, оператор, администратор ресторана-партнера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статуса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 проверяет статус заказа, при изменении реального статуса администратор ресторана-партнера актуализирует информацию.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Клиент, администратор ресторана-партнера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плата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безналичном расчете клиент расплачивается при оформлении заказа. При расчете наличными оплата передается курьеру.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Клиент, курьер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Получение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доставки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Курьер доставляет заказ по указанному адресу клиента. При расчете наличными оплата происходит при передаче заказа.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Клиент, курьер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sha Sotnichek" w:id="0" w:date="2017-05-14T21:26:41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как вообще? 😅😆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