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48"/>
          <w:shd w:fill="auto" w:val="clear"/>
        </w:rPr>
        <w:t xml:space="preserve">Quantum-Secured Federated Learning Grid (QS-FLG)</w:t>
        <w:br/>
      </w:r>
      <w:r>
        <w:rPr>
          <w:rFonts w:ascii="Times New Roman" w:hAnsi="Times New Roman" w:cs="Times New Roman" w:eastAsia="Times New Roman"/>
          <w:color w:val="auto"/>
          <w:spacing w:val="0"/>
          <w:position w:val="0"/>
          <w:sz w:val="22"/>
          <w:shd w:fill="auto" w:val="clear"/>
        </w:rPr>
        <w:br/>
        <w:t xml:space="preserve">West University of Timisoara (UVT)</w:t>
        <w:br/>
        <w:t xml:space="preserve">Department of Physics &amp; Mathematics</w:t>
        <w:br/>
        <w:br/>
        <w:t xml:space="preserve">Prepared by: Boboc Alexandru-Florin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Executive Summary</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Quantum-Secured Federated Learning Grid (QS-FLG) represents a novel architectural paradigm at the intersection of Quantum Computing, Distributed Systems, and High-Energy Physics. As the volume of data produced by experiments such as the Large Hadron Collider (LHC) at CERN increases, the centralized processing of Petabyte-scale datasets becomes increasingly prohibitive due to bandwidth constraints and privacy concerns.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project proposes and implements a decentralized solution: a Federated Learning (FL) network comprised of independent quantum processing nodes. Each node trains a Variational Quantum Classifier (VQC) on a local partition of the ATLAS Higgs Boson dataset. To ensure integrity and confidentiality in a potentially hostile network environment (e.g., satellite constellations or public cloud infrastructure), the system implements a custom cryptographic transport layer mimicking Quantum Key Distribution (QKD) secured links.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resulting system demonstrates that quantum machine learning models can be trained collaboratively without raw data sharing, achieving convergence comparable to centralized classical models while providing theoretical security guarantees against intercept-and-decrypt attacks.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Theoretical Framework</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section outlines the mathematical foundations of the Quantum Machine Learning (QML) models employed in the simulation.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2.1 The Variational Quantum Classifier (VQC)</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VQC is a hybrid quantum-classical algorithm. It leverages the high-dimensional Hilbert space of a quantum processor to find a hyperplane that separates data classes (Signal vs. Background) more efficiently than classical Support Vector Machines (SVMs) in specific feature spaces.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unitary evolution of the quantum state is described by:</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ψ(θ, x)</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 U(θ) |Φ(x)</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Where |</w:t>
      </w:r>
      <w:r>
        <w:rPr>
          <w:rFonts w:ascii="Times New Roman" w:hAnsi="Times New Roman" w:cs="Times New Roman" w:eastAsia="Times New Roman"/>
          <w:color w:val="auto"/>
          <w:spacing w:val="0"/>
          <w:position w:val="0"/>
          <w:sz w:val="22"/>
          <w:shd w:fill="auto" w:val="clear"/>
        </w:rPr>
        <w:t xml:space="preserve">Φ(x)</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is the state prepared by the feature map encoding the classical data x, and U(θ) is the parametrized ansatz optimized by the classical computer.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2.2 Feature Mapping &amp; Hilbert Space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encode the classical data vector x (derived from the CERN dataset) into quantum states, we employ the ZZFeatureMap. This map induces non-linearities in the data by evolving the state under an Ising-like Hamiltonian: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U_</w:t>
      </w:r>
      <w:r>
        <w:rPr>
          <w:rFonts w:ascii="Times New Roman" w:hAnsi="Times New Roman" w:cs="Times New Roman" w:eastAsia="Times New Roman"/>
          <w:color w:val="auto"/>
          <w:spacing w:val="0"/>
          <w:position w:val="0"/>
          <w:sz w:val="22"/>
          <w:shd w:fill="auto" w:val="clear"/>
        </w:rPr>
        <w:t xml:space="preserve">Φ(x) = exp(i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x_j Z_j + i </w:t>
      </w:r>
      <w:r>
        <w:rPr>
          <w:rFonts w:ascii="Cambria Math" w:hAnsi="Cambria Math" w:cs="Cambria Math" w:eastAsia="Cambria Math"/>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(π - x_j)(π - x_k) Z_j Z_k)</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mapping creates entanglement between qubits based on the correlations between features in the classical dataset. The result is that data points which are not linearly separable in classical space become separable in the high-dimensional quantum Hilbert space.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2.3 The Ansatz (RealAmplitudes)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trainable part of the circuit, the Ansatz, is constructed using the RealAmplitudes template. This hardware-efficient ansatz consists of alternating layers of:</w:t>
      </w:r>
    </w:p>
    <w:p>
      <w:pPr>
        <w:numPr>
          <w:ilvl w:val="0"/>
          <w:numId w:val="13"/>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Ry(</w:t>
      </w:r>
      <w:r>
        <w:rPr>
          <w:rFonts w:ascii="Times New Roman" w:hAnsi="Times New Roman" w:cs="Times New Roman" w:eastAsia="Times New Roman"/>
          <w:color w:val="auto"/>
          <w:spacing w:val="0"/>
          <w:position w:val="0"/>
          <w:sz w:val="22"/>
          <w:shd w:fill="auto" w:val="clear"/>
        </w:rPr>
        <w:t xml:space="preserve">θ): Single-qubit rotations that adjust the probability amplitudes.</w:t>
      </w:r>
    </w:p>
    <w:p>
      <w:pPr>
        <w:numPr>
          <w:ilvl w:val="0"/>
          <w:numId w:val="13"/>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CX (CNOT): Entangling gates that distribute information across the qubit register.</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structure was chosen specifically for its suitability on Noisy Intermediate-Scale Quantum (NISQ) devices, as it minimizes the circuit depth while maintaining high expressibility.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2.4 Hamiltonian Jitter (Noise Simulation)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simulate the physical imperfections of real quantum hardware (e.g., IBM Eagle or Hummingbird processors), the simulation introduces Coherent Control Error. In a perfect simulation, a rotation gate Rz(</w:t>
      </w:r>
      <w:r>
        <w:rPr>
          <w:rFonts w:ascii="Times New Roman" w:hAnsi="Times New Roman" w:cs="Times New Roman" w:eastAsia="Times New Roman"/>
          <w:color w:val="auto"/>
          <w:spacing w:val="0"/>
          <w:position w:val="0"/>
          <w:sz w:val="22"/>
          <w:shd w:fill="auto" w:val="clear"/>
        </w:rPr>
        <w:t xml:space="preserve">θ) applies an exact phase shift. In our physical model, we introduce a perturbation: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Rz_noisy(</w:t>
      </w:r>
      <w:r>
        <w:rPr>
          <w:rFonts w:ascii="Times New Roman" w:hAnsi="Times New Roman" w:cs="Times New Roman" w:eastAsia="Times New Roman"/>
          <w:color w:val="auto"/>
          <w:spacing w:val="0"/>
          <w:position w:val="0"/>
          <w:sz w:val="22"/>
          <w:shd w:fill="auto" w:val="clear"/>
        </w:rPr>
        <w:t xml:space="preserve">θ) = Rz(θ + δ), where δ ~ N(0, σ)</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stochastic term </w:t>
      </w:r>
      <w:r>
        <w:rPr>
          <w:rFonts w:ascii="Times New Roman" w:hAnsi="Times New Roman" w:cs="Times New Roman" w:eastAsia="Times New Roman"/>
          <w:color w:val="auto"/>
          <w:spacing w:val="0"/>
          <w:position w:val="0"/>
          <w:sz w:val="22"/>
          <w:shd w:fill="auto" w:val="clear"/>
        </w:rPr>
        <w:t xml:space="preserve">δ represents the calibration drift in the microwave control pulses used to drive superconducting qubits. The successful convergence of the model despite this noise proves the robustness of the VQC architecture.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System Architecture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follows a 'Hub-and-Spoke' Star Topology designed for asynchronous execution in a multi-threaded environment.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3.1 The Orchestrator</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Orchestrator acts as the Mission Control center. Written in Python, it utilizes the 'subprocess' module to spawn independent child processes for each quantum node. This ensures that the failure of a single node (e.g., due to a segmentation fault in the simulator) does not crash the entire grid.</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Key responsibilities include:</w:t>
      </w:r>
    </w:p>
    <w:p>
      <w:pPr>
        <w:numPr>
          <w:ilvl w:val="0"/>
          <w:numId w:val="2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Lifecycle Management: Spawning and killing client processes.</w:t>
      </w:r>
    </w:p>
    <w:p>
      <w:pPr>
        <w:numPr>
          <w:ilvl w:val="0"/>
          <w:numId w:val="2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Provisioning: Running the ETL pipelines to generate .npz data slices.</w:t>
      </w:r>
    </w:p>
    <w:p>
      <w:pPr>
        <w:numPr>
          <w:ilvl w:val="0"/>
          <w:numId w:val="2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Telemetry Aggregation: Collecting metrics for the dashboard.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3.2 The Cryptographic Transport Layer</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Standard TLS/SSL was deemed insufficient for the simulation goals, as the objective was to model a QKD (Quantum Key Distribution) secured link. We implemented an application-layer encryption protocol using the 'cryptography' library.</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Cipher Suite: AES-256-GCM (Galois/Counter Mode).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mode was selected because it provides Authenticated Encryption (AEAD). It generates an authentication tag alongside the ciphertext. If a Man-in-the-Middle (MITM) attacker modifies even a single bit of the encrypted gradient update, the tag validation will fail, and the Server will reject the packet.</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Protocol Flow:</w:t>
      </w:r>
    </w:p>
    <w:p>
      <w:pPr>
        <w:numPr>
          <w:ilvl w:val="0"/>
          <w:numId w:val="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Client computes gradients </w:t>
      </w:r>
      <w:r>
        <w:rPr>
          <w:rFonts w:ascii="Cambria Math" w:hAnsi="Cambria Math" w:cs="Cambria Math" w:eastAsia="Cambria Math"/>
          <w:color w:val="auto"/>
          <w:spacing w:val="0"/>
          <w:position w:val="0"/>
          <w:sz w:val="22"/>
          <w:shd w:fill="auto" w:val="clear"/>
        </w:rPr>
        <w:t xml:space="preserve">∇θ</w:t>
      </w:r>
      <w:r>
        <w:rPr>
          <w:rFonts w:ascii="Times New Roman" w:hAnsi="Times New Roman" w:cs="Times New Roman" w:eastAsia="Times New Roman"/>
          <w:color w:val="auto"/>
          <w:spacing w:val="0"/>
          <w:position w:val="0"/>
          <w:sz w:val="22"/>
          <w:shd w:fill="auto" w:val="clear"/>
        </w:rPr>
        <w:t xml:space="preserve">.</w:t>
      </w:r>
    </w:p>
    <w:p>
      <w:pPr>
        <w:numPr>
          <w:ilvl w:val="0"/>
          <w:numId w:val="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Client serializes </w:t>
      </w:r>
      <w:r>
        <w:rPr>
          <w:rFonts w:ascii="Cambria Math" w:hAnsi="Cambria Math" w:cs="Cambria Math" w:eastAsia="Cambria Math"/>
          <w:color w:val="auto"/>
          <w:spacing w:val="0"/>
          <w:position w:val="0"/>
          <w:sz w:val="22"/>
          <w:shd w:fill="auto" w:val="clear"/>
        </w:rPr>
        <w:t xml:space="preserve">∇θ</w:t>
      </w:r>
      <w:r>
        <w:rPr>
          <w:rFonts w:ascii="Times New Roman" w:hAnsi="Times New Roman" w:cs="Times New Roman" w:eastAsia="Times New Roman"/>
          <w:color w:val="auto"/>
          <w:spacing w:val="0"/>
          <w:position w:val="0"/>
          <w:sz w:val="22"/>
          <w:shd w:fill="auto" w:val="clear"/>
        </w:rPr>
        <w:t xml:space="preserve"> into a binary buffer.</w:t>
      </w:r>
    </w:p>
    <w:p>
      <w:pPr>
        <w:numPr>
          <w:ilvl w:val="0"/>
          <w:numId w:val="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Client generates a random Initialization Vector (IV).</w:t>
      </w:r>
    </w:p>
    <w:p>
      <w:pPr>
        <w:numPr>
          <w:ilvl w:val="0"/>
          <w:numId w:val="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 Client encrypts payload: C = AES_Encrypt(Key, IV, </w:t>
      </w:r>
      <w:r>
        <w:rPr>
          <w:rFonts w:ascii="Cambria Math" w:hAnsi="Cambria Math" w:cs="Cambria Math" w:eastAsia="Cambria Math"/>
          <w:color w:val="auto"/>
          <w:spacing w:val="0"/>
          <w:position w:val="0"/>
          <w:sz w:val="22"/>
          <w:shd w:fill="auto" w:val="clear"/>
        </w:rPr>
        <w:t xml:space="preserve">∇θ</w:t>
      </w:r>
      <w:r>
        <w:rPr>
          <w:rFonts w:ascii="Times New Roman" w:hAnsi="Times New Roman" w:cs="Times New Roman" w:eastAsia="Times New Roman"/>
          <w:color w:val="auto"/>
          <w:spacing w:val="0"/>
          <w:position w:val="0"/>
          <w:sz w:val="22"/>
          <w:shd w:fill="auto" w:val="clear"/>
        </w:rPr>
        <w:t xml:space="preserve">).</w:t>
      </w:r>
    </w:p>
    <w:p>
      <w:pPr>
        <w:numPr>
          <w:ilvl w:val="0"/>
          <w:numId w:val="2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 Client sends packet {IV, C, Tag} to the Server.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Engineering Implementation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section details the specific coding challenges and solutions encountered during development.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4.1 Solving the Race Condition (Atomic Writes)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critical issue encountered was the 'Time-of-Check to Time-of-Use' (TOCTOU) race condition. In a high-frequency loop, the Server writes the global model to disk while Clients simultaneously attempt to read it. This resulted in Clients reading incomplete file headers.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The Atomic Write Pattern.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Instead of writing directly to 'global_model.npz', the system writes to a temporary file 'global_model.npz.tmp'. Once the write is physically flushed to the disk sector (using os.fsync), an atomic rename operation (os.replace) swaps the file pointers. This guarantees that at any nanosecond t, the file 'global_model.npz' is either fully valid or non-existent.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4.2 CERN Data Pipeline (ETL)</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dataset used is the ATLAS Higgs Boson Challenge 2014. The raw CSV contains 30 kinematic features (momentum, pseudorapidity, etc.). Quantum simulators scale exponentially with qubit count ($2^N$), making 30 qubits unfeasible on a laptop.</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Dimensionality Reduction Strategy:</w:t>
      </w:r>
    </w:p>
    <w:p>
      <w:pPr>
        <w:numPr>
          <w:ilvl w:val="0"/>
          <w:numId w:val="3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Cleaning: Imputation of missing values (-999.0) with zero.</w:t>
      </w:r>
    </w:p>
    <w:p>
      <w:pPr>
        <w:numPr>
          <w:ilvl w:val="0"/>
          <w:numId w:val="3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PCA: Principal Component Analysis was applied to project the 30-dimensional feature space onto the 2 principal eigenvectors.</w:t>
      </w:r>
    </w:p>
    <w:p>
      <w:pPr>
        <w:numPr>
          <w:ilvl w:val="0"/>
          <w:numId w:val="31"/>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Scaling: The reduced features were MinMax scaled to [0, 1] to map essentially onto the Bloch Sphere rotation angles.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4.3 Telemetry &amp; Visualization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dashboard is built on Streamlit and Plotly. A custom polling architecture was developed to decouple the rendering loop from the physics loop. The Orchestrator dumps a JSON state file every round, and the Dashboard polls this file.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Visualization Features:</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Bloch Sphere: A 3D representation of the qubit state vector, calculated by extracting the rotation parameters from the ansatz.</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Entropy Loss: Real-time plotting of the Hamiltonian expectation value.</w:t>
      </w:r>
    </w:p>
    <w:p>
      <w:pPr>
        <w:numPr>
          <w:ilvl w:val="0"/>
          <w:numId w:val="34"/>
        </w:numPr>
        <w:tabs>
          <w:tab w:val="left" w:pos="360" w:leader="none"/>
        </w:tabs>
        <w:spacing w:before="0" w:after="20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Sci-Fi HUD: Custom CSS injection to mimic ESA mission control interfaces.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Results &amp; Conclusion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simulation was run for 15 communication rounds with 2 client nodes processing 2000 events.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Convergence: The system successfully minimized the Hamiltonian cost function, achieving a classification accuracy of approximately 76% on the validation set. This is comparable to classical benchmarks on this specific subset of data.</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Robustness: The system recovered from induced failures (Client crashes) and successfully rejected corrupted packets (simulated MITM attacks), validating the resilience of the Atomic I/O and Cryptographic layers.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Conclusion: This project proves that Quantum Federated Learning is a viable architecture for secure, distributed data analysis in High Energy Physics. It provides a foundation for future work involving real quantum hardware (IBM Q) and Quantum Error Correction codes.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3">
    <w:abstractNumId w:val="24"/>
  </w:num>
  <w:num w:numId="21">
    <w:abstractNumId w:val="18"/>
  </w:num>
  <w:num w:numId="24">
    <w:abstractNumId w:val="12"/>
  </w:num>
  <w:num w:numId="31">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