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ind w:firstLine="480" w:firstLineChars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Каузальная сегментация непрерывного движения оператора и устойчивое распознавание переходов между командами Unitree G1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40" w:firstLineChars="200"/>
        <w:jc w:val="center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А.С. Забарянский</w:t>
      </w:r>
      <w:r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  <w:vertAlign w:val="superscript"/>
        </w:rPr>
        <w:sym w:font="Wingdings" w:char="F02A"/>
      </w:r>
      <w:r>
        <w:rPr>
          <w:rFonts w:ascii="Times New Roman" w:hAnsi="Times New Roman" w:cs="Times New Roman"/>
        </w:rPr>
        <w:t>, А.В. Губа</w:t>
      </w:r>
      <w:r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>, В.Б. Казанцев</w:t>
      </w:r>
      <w:r>
        <w:rPr>
          <w:rFonts w:ascii="Times New Roman" w:hAnsi="Times New Roman" w:cs="Times New Roman"/>
          <w:vertAlign w:val="superscript"/>
        </w:rPr>
        <w:t>1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ind w:firstLine="360" w:firstLineChars="20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 w:cs="Times New Roman"/>
          <w:i/>
          <w:iCs/>
          <w:sz w:val="18"/>
          <w:szCs w:val="18"/>
          <w:vertAlign w:val="superscript"/>
        </w:rPr>
        <w:t>1</w:t>
      </w:r>
      <w:r>
        <w:rPr>
          <w:rFonts w:ascii="Times New Roman" w:hAnsi="Times New Roman" w:cs="Times New Roman"/>
          <w:i/>
          <w:iCs/>
          <w:sz w:val="18"/>
          <w:szCs w:val="18"/>
        </w:rPr>
        <w:t>Московский физико-технический институт (МФТИ), г. Долгопрудный, Московская область, Россия, zabarianskii.a@phystech.edu</w:t>
      </w:r>
    </w:p>
    <w:p>
      <w:pPr>
        <w:pStyle w:val="4"/>
        <w:spacing w:before="0"/>
        <w:ind w:firstLine="400" w:firstLineChars="2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Благодарности</w:t>
      </w:r>
    </w:p>
    <w:p>
      <w:pPr>
        <w:widowControl/>
        <w:ind w:firstLine="400" w:firstLineChars="2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Работа выполнена при поддержке государственного задания Министерства науки и высшего образования РФ, проект FSMG-2024-0047.</w:t>
      </w:r>
    </w:p>
    <w:p>
      <w:pPr>
        <w:widowControl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3"/>
        <w:spacing w:before="0"/>
        <w:ind w:firstLine="480" w:firstLineChars="20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Causal Segmentation of Continuous Operator Motion for Robust High-Level Humanoid Command Transitions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40" w:firstLineChars="200"/>
        <w:jc w:val="center"/>
        <w:rPr>
          <w:rFonts w:ascii="Times New Roman" w:hAnsi="Times New Roman" w:cs="Times New Roman"/>
          <w:vertAlign w:val="superscript"/>
          <w:lang w:val="en-US"/>
        </w:rPr>
      </w:pPr>
      <w:r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  <w:lang w:val="en-US"/>
        </w:rPr>
        <w:t>laxander S. Zabaryansky</w:t>
      </w:r>
      <w:r>
        <w:rPr>
          <w:rFonts w:ascii="Times New Roman" w:hAnsi="Times New Roman" w:cs="Times New Roman"/>
          <w:vertAlign w:val="superscript"/>
          <w:lang w:val="en-US"/>
        </w:rPr>
        <w:t>1</w:t>
      </w:r>
      <w:r>
        <w:rPr>
          <w:rFonts w:ascii="Times New Roman" w:hAnsi="Times New Roman" w:cs="Times New Roman"/>
          <w:vertAlign w:val="superscript"/>
        </w:rPr>
        <w:sym w:font="Wingdings" w:char="F02A"/>
      </w:r>
      <w:r>
        <w:rPr>
          <w:rFonts w:ascii="Times New Roman" w:hAnsi="Times New Roman" w:cs="Times New Roman"/>
          <w:lang w:val="en-US"/>
        </w:rPr>
        <w:t>, Artem V. Guba</w:t>
      </w:r>
      <w:r>
        <w:rPr>
          <w:rFonts w:ascii="Times New Roman" w:hAnsi="Times New Roman" w:cs="Times New Roman"/>
          <w:vertAlign w:val="superscript"/>
          <w:lang w:val="en-US"/>
        </w:rPr>
        <w:t>1</w:t>
      </w:r>
      <w:r>
        <w:rPr>
          <w:rFonts w:ascii="Times New Roman" w:hAnsi="Times New Roman" w:cs="Times New Roman"/>
          <w:lang w:val="en-US"/>
        </w:rPr>
        <w:t>, Victor B. Kazantsev</w:t>
      </w:r>
      <w:r>
        <w:rPr>
          <w:rFonts w:ascii="Times New Roman" w:hAnsi="Times New Roman" w:cs="Times New Roman"/>
          <w:vertAlign w:val="superscript"/>
          <w:lang w:val="en-US"/>
        </w:rPr>
        <w:t>1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ind w:firstLine="360" w:firstLineChars="200"/>
        <w:jc w:val="center"/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>
        <w:rPr>
          <w:rFonts w:ascii="Times New Roman" w:hAnsi="Times New Roman" w:cs="Times New Roman"/>
          <w:i/>
          <w:iCs/>
          <w:sz w:val="18"/>
          <w:szCs w:val="18"/>
          <w:vertAlign w:val="superscript"/>
          <w:lang w:val="en-US"/>
        </w:rPr>
        <w:t>1</w:t>
      </w: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Moscow Institute of Physics and Technology (MIPT), Dolgoprudny, Moscow region, Russia, zabarianskii.a@phystech.edu</w:t>
      </w:r>
    </w:p>
    <w:p>
      <w:pPr>
        <w:pStyle w:val="4"/>
        <w:spacing w:before="0"/>
        <w:ind w:firstLine="400" w:firstLineChars="200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Acknowledgements</w:t>
      </w:r>
    </w:p>
    <w:p>
      <w:pPr>
        <w:widowControl/>
        <w:ind w:firstLine="400" w:firstLineChars="2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The work was carried out with the support of the federal assignment of the Ministry of Science and Higher Education of the Russian Federation, project No. </w:t>
      </w:r>
      <w:r>
        <w:rPr>
          <w:rFonts w:ascii="Times New Roman" w:hAnsi="Times New Roman" w:eastAsia="Times New Roman" w:cs="Times New Roman"/>
          <w:sz w:val="20"/>
          <w:szCs w:val="20"/>
        </w:rPr>
        <w:t>FSMG-2024-0047.</w:t>
      </w:r>
    </w:p>
    <w:p>
      <w:pPr>
        <w:widowControl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ind w:firstLine="400" w:firstLineChars="2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системах телеуправления антропоморфными роботами, такими как Unitree G1, важной задачей является надежное распознавание высокоуровневых команд в непрерывном потоке движений оператора. Использование стандартных методов сегментации [1, 2] затруднительно из-за необходимости работы в реальном времени и из-за высокой асимметричной цены ошибки: ранний ложный старт команды представляет большую опасность, чем небольшая задержка ее выполнения.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ind w:firstLine="400" w:firstLineChars="2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В данной работе предлагается алгоритм онлайн-сегментации, основанный на адаптации двухуровневой схемы пространственно-временного векторного квантования HiST-VQ к каузальному потоковому режиму [3]. Для повышения устойчивости распознавания вводится </w:t>
      </w:r>
      <w:r>
        <w:rPr>
          <w:rFonts w:hint="default" w:ascii="Times New Roman" w:hAnsi="Times New Roman" w:cs="Times New Roman"/>
          <w:sz w:val="20"/>
          <w:szCs w:val="20"/>
          <w:lang w:val="ru-RU"/>
        </w:rPr>
        <w:t xml:space="preserve">каузальный </w:t>
      </w:r>
      <w:r>
        <w:rPr>
          <w:rFonts w:ascii="Times New Roman" w:hAnsi="Times New Roman" w:cs="Times New Roman"/>
          <w:sz w:val="20"/>
          <w:szCs w:val="20"/>
        </w:rPr>
        <w:t>автомат переходов, явно моделирующий состояния NEUTRAL, TRANSITION и ACTIVE. Алгоритм анализирует перекрывающиеся временные окна движений и требует последовательного подтверждения новой команды на нескольких окнах перед ее активацией. Подобный подход позволяет фильтровать “бытовые” движения оператора и снижать количество двойных срабатываний на один переход.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400" w:firstLineChars="2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Оценка предложенного подхода </w:t>
      </w:r>
      <w:r>
        <w:rPr>
          <w:rFonts w:ascii="Times New Roman" w:hAnsi="Times New Roman" w:cs="Times New Roman"/>
          <w:sz w:val="20"/>
          <w:szCs w:val="20"/>
          <w:lang w:val="ru-RU"/>
        </w:rPr>
        <w:t>проводилась</w:t>
      </w:r>
      <w:r>
        <w:rPr>
          <w:rFonts w:hint="default"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на наборе данных непрерывных движений, записанном с использованием Perception Neuron Link [4]. Основное внимание в исследовании уделяется балансу между надежностью фильтрации ложных активаций и задержкой распознавания. Разработанный метод формирует контур для высокоуровневого управления роботом, минимизирующий</w:t>
      </w:r>
      <w:r>
        <w:rPr>
          <w:rFonts w:hint="default"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ошибки</w:t>
      </w:r>
      <w:r>
        <w:rPr>
          <w:rFonts w:hint="default" w:ascii="Times New Roman" w:hAnsi="Times New Roman" w:cs="Times New Roman"/>
          <w:sz w:val="20"/>
          <w:szCs w:val="20"/>
          <w:lang w:val="ru-RU"/>
        </w:rPr>
        <w:t xml:space="preserve"> и повторные срабатывания</w:t>
      </w:r>
      <w:r>
        <w:rPr>
          <w:rFonts w:ascii="Times New Roman" w:hAnsi="Times New Roman" w:cs="Times New Roman"/>
          <w:sz w:val="20"/>
          <w:szCs w:val="20"/>
        </w:rPr>
        <w:t xml:space="preserve"> при телеуправлении.</w:t>
      </w:r>
    </w:p>
    <w:p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В работе проверяется гипотеза: явное состояние TRANSITION и подтверждение новой команды несколькими последовательными окнами уменьшают число ложных активаций и двойных переключений ценой небольшой дополнительной задержки.</w:t>
      </w:r>
    </w:p>
    <w:p>
      <w:pPr>
        <w:ind w:firstLine="400" w:firstLineChars="200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cs="Times New Roman"/>
          <w:sz w:val="20"/>
          <w:szCs w:val="20"/>
          <w:rtl w:val="0"/>
        </w:rPr>
        <w:t xml:space="preserve">Были сделаны 6 записей с использованием системы Perception Neuron Link [4] по 3 минуты с частотой 90 кадров в секунду. Оператор на записях, последовательно стоя на одном месте, изображал один из пяти классов: NEUTRAL — стойка смирно, ACTIVE_FORWARD — две руки подняты вперед под углом 90 градусов относительно туловища, ACTIVE_LEFT — левая рука поднята в сторону под углом 90 градусов относительно туловища, ACTIVE_RIGHT — правая рука поднята в сторону под углом 90 градусов относительно туловища, DISTRACTOR — различные </w:t>
      </w:r>
      <w:r>
        <w:rPr>
          <w:rFonts w:hint="default" w:ascii="Times New Roman" w:hAnsi="Times New Roman" w:cs="Times New Roman"/>
          <w:sz w:val="20"/>
          <w:szCs w:val="20"/>
          <w:rtl w:val="0"/>
          <w:lang w:val="en-US"/>
        </w:rPr>
        <w:t>“</w:t>
      </w:r>
      <w:r>
        <w:rPr>
          <w:rFonts w:hint="default" w:ascii="Times New Roman" w:hAnsi="Times New Roman" w:cs="Times New Roman"/>
          <w:sz w:val="20"/>
          <w:szCs w:val="20"/>
          <w:rtl w:val="0"/>
        </w:rPr>
        <w:t>бытовые</w:t>
      </w:r>
      <w:r>
        <w:rPr>
          <w:rFonts w:hint="default" w:ascii="Times New Roman" w:hAnsi="Times New Roman" w:cs="Times New Roman"/>
          <w:sz w:val="20"/>
          <w:szCs w:val="20"/>
          <w:rtl w:val="0"/>
          <w:lang w:val="en-US"/>
        </w:rPr>
        <w:t>”</w:t>
      </w:r>
      <w:r>
        <w:rPr>
          <w:rFonts w:hint="default" w:ascii="Times New Roman" w:hAnsi="Times New Roman" w:cs="Times New Roman"/>
          <w:sz w:val="20"/>
          <w:szCs w:val="20"/>
          <w:rtl w:val="0"/>
        </w:rPr>
        <w:t xml:space="preserve"> движения, такие как переминание с ноги на ногу, почесывание головы, поправление одежды и другие. Три записи были обозначены как обучающая выборка, две как тестовая, одна как валидационная для подбора параметров. Были зафиксированы 12 основных суставов, для каждого из них в каждом кадре выписаны 12 чисел: 3 — координаты сустава относительно таза, 3 — направления вверх относительно таза, оставшиеся 6 характеризуют скорость изменения сигнала. Последовательность кадров была поделена на перекрывающиеся окна по 1 секунде (90 кадров) с шагом 0.1 секунды. Каждое окно разворачивалось в плоский вектор из 144 </w:t>
      </w:r>
      <w:r>
        <w:rPr>
          <w:rFonts w:hint="default" w:ascii="Times New Roman" w:hAnsi="Times New Roman" w:cs="Times New Roman"/>
          <w:sz w:val="20"/>
          <w:szCs w:val="20"/>
          <w:rtl w:val="0"/>
          <w:lang w:val="ru-RU"/>
        </w:rPr>
        <w:t>*</w:t>
      </w:r>
      <w:r>
        <w:rPr>
          <w:rFonts w:hint="default" w:ascii="Times New Roman" w:hAnsi="Times New Roman" w:cs="Times New Roman"/>
          <w:sz w:val="20"/>
          <w:szCs w:val="20"/>
          <w:rtl w:val="0"/>
        </w:rPr>
        <w:t xml:space="preserve"> 90 = 12 960 значений, к которым добавлялись 12 средних значений энергии по суставам и одна суммарная энергия окна — в сумме 12 973 признака на окно. С помощью метода главных компонент их количество было снижено до 16 компонент. Для каждого окна была назначена метка класса по принципу</w:t>
      </w:r>
      <w:r>
        <w:rPr>
          <w:rFonts w:hint="default" w:ascii="Times New Roman" w:hAnsi="Times New Roman" w:cs="Times New Roman"/>
          <w:sz w:val="20"/>
          <w:szCs w:val="20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rtl w:val="0"/>
        </w:rPr>
        <w:t>большинства</w:t>
      </w:r>
      <w:r>
        <w:rPr>
          <w:rFonts w:hint="default" w:ascii="Times New Roman" w:hAnsi="Times New Roman" w:cs="Times New Roman"/>
          <w:sz w:val="20"/>
          <w:szCs w:val="20"/>
          <w:rtl w:val="0"/>
          <w:lang w:val="ru-RU"/>
        </w:rPr>
        <w:t xml:space="preserve"> среди кадров окна</w:t>
      </w:r>
      <w:r>
        <w:rPr>
          <w:rFonts w:hint="default" w:ascii="Times New Roman" w:hAnsi="Times New Roman" w:cs="Times New Roman"/>
          <w:sz w:val="20"/>
          <w:szCs w:val="20"/>
          <w:rtl w:val="0"/>
        </w:rPr>
        <w:t>.</w:t>
      </w:r>
    </w:p>
    <w:p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cs="Times New Roman"/>
          <w:sz w:val="20"/>
          <w:szCs w:val="20"/>
          <w:rtl w:val="0"/>
        </w:rPr>
        <w:t>Были разработаны и сравнены 4 метода: базовый одноуровневый метод, где предсказания модели используются напрямую без применения постфильтрации</w:t>
      </w:r>
      <w:r>
        <w:rPr>
          <w:rFonts w:hint="default" w:ascii="Times New Roman" w:hAnsi="Times New Roman" w:cs="Times New Roman"/>
          <w:sz w:val="20"/>
          <w:szCs w:val="20"/>
          <w:rtl w:val="0"/>
          <w:lang w:val="en-US"/>
        </w:rPr>
        <w:t>,</w:t>
      </w:r>
      <w:r>
        <w:rPr>
          <w:rFonts w:hint="default" w:ascii="Times New Roman" w:hAnsi="Times New Roman" w:cs="Times New Roman"/>
          <w:sz w:val="20"/>
          <w:szCs w:val="20"/>
          <w:rtl w:val="0"/>
        </w:rPr>
        <w:t xml:space="preserve"> одноуровневый метод с фильтрацией, в котором применяется скользящее окно с выбором наиболее частого класса</w:t>
      </w:r>
      <w:r>
        <w:rPr>
          <w:rFonts w:hint="default" w:ascii="Times New Roman" w:hAnsi="Times New Roman" w:cs="Times New Roman"/>
          <w:sz w:val="20"/>
          <w:szCs w:val="20"/>
          <w:rtl w:val="0"/>
          <w:lang w:val="en-US"/>
        </w:rPr>
        <w:t>,</w:t>
      </w:r>
      <w:r>
        <w:rPr>
          <w:rFonts w:hint="default" w:ascii="Times New Roman" w:hAnsi="Times New Roman" w:cs="Times New Roman"/>
          <w:sz w:val="20"/>
          <w:szCs w:val="20"/>
          <w:rtl w:val="0"/>
        </w:rPr>
        <w:t xml:space="preserve"> базовый двухуровневый метод, использующий двухуровневую архитектуру без алгоритма переходов</w:t>
      </w:r>
      <w:r>
        <w:rPr>
          <w:rFonts w:hint="default" w:ascii="Times New Roman" w:hAnsi="Times New Roman" w:cs="Times New Roman"/>
          <w:sz w:val="20"/>
          <w:szCs w:val="20"/>
          <w:rtl w:val="0"/>
          <w:lang w:val="en-US"/>
        </w:rPr>
        <w:t>,</w:t>
      </w:r>
      <w:r>
        <w:rPr>
          <w:rFonts w:hint="default" w:ascii="Times New Roman" w:hAnsi="Times New Roman" w:cs="Times New Roman"/>
          <w:sz w:val="20"/>
          <w:szCs w:val="20"/>
          <w:rtl w:val="0"/>
        </w:rPr>
        <w:t xml:space="preserve"> и предлагаемый двухуровневый метод с конечным автоматом, использующий автомат переходов с подтверждением на нескольких окнах и порогом уверенности.</w:t>
      </w:r>
      <w:r>
        <w:rPr>
          <w:rFonts w:hint="default" w:ascii="Times New Roman" w:hAnsi="Times New Roman" w:cs="Times New Roman"/>
          <w:sz w:val="20"/>
          <w:szCs w:val="20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u w:val="none"/>
          <w:rtl w:val="0"/>
          <w:lang w:val="en-US"/>
        </w:rPr>
        <w:t xml:space="preserve">Под уровнем здесь понимается один слой кластеризации методом K-means. </w:t>
      </w:r>
      <w:r>
        <w:rPr>
          <w:rFonts w:hint="default" w:ascii="Times New Roman" w:hAnsi="Times New Roman" w:eastAsia="SimSun" w:cs="Times New Roman"/>
          <w:kern w:val="0"/>
          <w:sz w:val="20"/>
          <w:szCs w:val="20"/>
          <w:u w:val="none"/>
          <w:lang w:val="en-US" w:eastAsia="zh-CN" w:bidi="ar"/>
        </w:rPr>
        <w:t xml:space="preserve">Предлагаемый </w:t>
      </w:r>
      <w:r>
        <w:rPr>
          <w:rFonts w:hint="default" w:ascii="Times New Roman" w:hAnsi="Times New Roman" w:cs="Times New Roman"/>
          <w:sz w:val="20"/>
          <w:szCs w:val="20"/>
          <w:rtl w:val="0"/>
        </w:rPr>
        <w:t>двухуровневый метод с конечным автоматом</w:t>
      </w:r>
      <w:r>
        <w:rPr>
          <w:rFonts w:hint="default" w:ascii="Times New Roman" w:hAnsi="Times New Roman" w:eastAsia="SimSun" w:cs="Times New Roman"/>
          <w:kern w:val="0"/>
          <w:sz w:val="20"/>
          <w:szCs w:val="20"/>
          <w:u w:val="none"/>
          <w:lang w:val="en-US" w:eastAsia="zh-CN" w:bidi="ar"/>
        </w:rPr>
        <w:t xml:space="preserve"> использует каузальный автомат переходов с тремя состояниями: NEUTRAL, TRANSITION и ACTIVE. При появлении метки, отличной от текущей команды, система переходит в состояние TRANSITION. Активация новой команды происходит только после того, как она подтверждается N последовательными окнами подряд, при этом окна с уверенностью ниже порога q игнорируются. Возврат в NEUTRAL также требует последовательного подтверждения. Все решения принимаются только по текущему и предыдущим окнам и не пересчитываются при поступлении новых данных.</w:t>
      </w:r>
    </w:p>
    <w:p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Корректность каузальности проверена программно: результат применения фильтра к любому префиксу последовательности сравнивался с соответствующим префиксом полного результата. Тест проходил успешно на всех конфигурациях.</w:t>
      </w:r>
    </w:p>
    <w:p>
      <w:pPr>
        <w:ind w:firstLine="400" w:firstLineChars="200"/>
        <w:rPr>
          <w:rFonts w:hint="default" w:ascii="Times New Roman" w:hAnsi="Times New Roman" w:eastAsia="SimSun" w:cs="Times New Roman"/>
          <w:kern w:val="0"/>
          <w:sz w:val="20"/>
          <w:szCs w:val="20"/>
          <w:u w:val="none"/>
          <w:rtl w:val="0"/>
          <w:lang w:val="ru-RU" w:eastAsia="zh-CN" w:bidi="ar"/>
        </w:rPr>
      </w:pPr>
      <w:r>
        <w:rPr>
          <w:rFonts w:hint="default" w:ascii="Times New Roman" w:hAnsi="Times New Roman" w:cs="Times New Roman"/>
          <w:sz w:val="20"/>
          <w:szCs w:val="20"/>
          <w:rtl w:val="0"/>
        </w:rPr>
        <w:t>Для подбора оптимальных гиперпараметров использовалась валидационная выборка.</w:t>
      </w:r>
      <w:r>
        <w:rPr>
          <w:rFonts w:hint="default" w:ascii="Times New Roman" w:hAnsi="Times New Roman" w:cs="Times New Roman"/>
          <w:sz w:val="20"/>
          <w:szCs w:val="20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rtl w:val="0"/>
        </w:rPr>
        <w:t>Исходя из результатов на валидации</w:t>
      </w:r>
      <w:r>
        <w:rPr>
          <w:rFonts w:hint="default" w:ascii="Times New Roman" w:hAnsi="Times New Roman" w:cs="Times New Roman"/>
          <w:sz w:val="20"/>
          <w:szCs w:val="20"/>
          <w:rtl w:val="0"/>
          <w:lang w:val="ru-RU"/>
        </w:rPr>
        <w:t xml:space="preserve"> (см. рис. 1)</w:t>
      </w:r>
      <w:r>
        <w:rPr>
          <w:rFonts w:hint="default" w:ascii="Times New Roman" w:hAnsi="Times New Roman" w:cs="Times New Roman"/>
          <w:sz w:val="20"/>
          <w:szCs w:val="20"/>
          <w:rtl w:val="0"/>
        </w:rPr>
        <w:t>,</w:t>
      </w:r>
      <w:r>
        <w:rPr>
          <w:rFonts w:hint="default" w:ascii="Times New Roman" w:hAnsi="Times New Roman" w:cs="Times New Roman"/>
          <w:sz w:val="20"/>
          <w:szCs w:val="20"/>
          <w:rtl w:val="0"/>
          <w:lang w:val="ru-RU"/>
        </w:rPr>
        <w:t xml:space="preserve"> для двухуровневого автомата оптимальными оказались значения порога уверенности q = 0.10 и числа подтверждений N = 1, поскольку они минимизируют ложные срабатывания до нуля при сохранении высокой F1-меры по событиям. Следует отметить, что при N = 1 подтверждение серии фактически отключено: эффект достигается за счёт порога уверенности q, который отсеивает неуверенные окна.</w:t>
      </w:r>
    </w:p>
    <w:p>
      <w:pPr>
        <w:pStyle w:val="5"/>
        <w:jc w:val="center"/>
        <w:rPr>
          <w:rFonts w:hint="default" w:ascii="Times New Roman" w:hAnsi="Times New Roman" w:cs="Times New Roman"/>
          <w:sz w:val="20"/>
          <w:szCs w:val="20"/>
          <w:rtl w:val="0"/>
        </w:rPr>
      </w:pPr>
      <w:r>
        <w:rPr>
          <w:rFonts w:hint="default" w:ascii="Times New Roman" w:hAnsi="Times New Roman" w:cs="Times New Roman"/>
          <w:rtl w:val="0"/>
        </w:rPr>
        <w:t>Таблица 1 — Сравнение алгоритмов сегментации</w:t>
      </w:r>
    </w:p>
    <w:tbl>
      <w:tblPr>
        <w:tblStyle w:val="12"/>
        <w:tblW w:w="95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070"/>
        <w:gridCol w:w="790"/>
        <w:gridCol w:w="1590"/>
        <w:gridCol w:w="1080"/>
        <w:gridCol w:w="900"/>
        <w:gridCol w:w="1620"/>
        <w:gridCol w:w="1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8" w:type="dxa"/>
          </w:tcPr>
          <w:p>
            <w:pPr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rtl w:val="0"/>
              </w:rPr>
              <w:t>Метод</w:t>
            </w:r>
          </w:p>
        </w:tc>
        <w:tc>
          <w:tcPr>
            <w:tcW w:w="1070" w:type="dxa"/>
          </w:tcPr>
          <w:p>
            <w:pPr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  <w:t>frame_accuracy</w:t>
            </w:r>
          </w:p>
        </w:tc>
        <w:tc>
          <w:tcPr>
            <w:tcW w:w="790" w:type="dxa"/>
          </w:tcPr>
          <w:p>
            <w:pPr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  <w:t>event_f1</w:t>
            </w:r>
          </w:p>
        </w:tc>
        <w:tc>
          <w:tcPr>
            <w:tcW w:w="1590" w:type="dxa"/>
          </w:tcPr>
          <w:p>
            <w:pPr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  <w:t>false_activations_per_min</w:t>
            </w:r>
          </w:p>
        </w:tc>
        <w:tc>
          <w:tcPr>
            <w:tcW w:w="1080" w:type="dxa"/>
          </w:tcPr>
          <w:p>
            <w:pPr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  <w:t>median_delay_s</w:t>
            </w:r>
          </w:p>
        </w:tc>
        <w:tc>
          <w:tcPr>
            <w:tcW w:w="900" w:type="dxa"/>
          </w:tcPr>
          <w:p>
            <w:pPr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  <w:t>p95_delay_s</w:t>
            </w:r>
          </w:p>
        </w:tc>
        <w:tc>
          <w:tcPr>
            <w:tcW w:w="1620" w:type="dxa"/>
          </w:tcPr>
          <w:p>
            <w:pPr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  <w:t>double_commands_per_transition</w:t>
            </w:r>
          </w:p>
        </w:tc>
        <w:tc>
          <w:tcPr>
            <w:tcW w:w="1030" w:type="dxa"/>
          </w:tcPr>
          <w:p>
            <w:pPr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  <w:t>missed_commands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458" w:type="dxa"/>
          </w:tcPr>
          <w:p>
            <w:pPr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rtl w:val="0"/>
              </w:rPr>
              <w:t>Одноуровн. базовый</w:t>
            </w:r>
          </w:p>
        </w:tc>
        <w:tc>
          <w:tcPr>
            <w:tcW w:w="107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  <w:t>0.538</w:t>
            </w:r>
          </w:p>
        </w:tc>
        <w:tc>
          <w:tcPr>
            <w:tcW w:w="79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  <w:t>0.672</w:t>
            </w:r>
          </w:p>
        </w:tc>
        <w:tc>
          <w:tcPr>
            <w:tcW w:w="159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5.790</w:t>
            </w:r>
          </w:p>
        </w:tc>
        <w:tc>
          <w:tcPr>
            <w:tcW w:w="108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0.4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0.51</w:t>
            </w:r>
          </w:p>
        </w:tc>
        <w:tc>
          <w:tcPr>
            <w:tcW w:w="162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0.0</w:t>
            </w:r>
          </w:p>
        </w:tc>
        <w:tc>
          <w:tcPr>
            <w:tcW w:w="103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8" w:type="dxa"/>
          </w:tcPr>
          <w:p>
            <w:pPr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rtl w:val="0"/>
              </w:rPr>
              <w:t>Одноуровн. фильтр.</w:t>
            </w:r>
          </w:p>
        </w:tc>
        <w:tc>
          <w:tcPr>
            <w:tcW w:w="107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  <w:t>0.517</w:t>
            </w:r>
          </w:p>
        </w:tc>
        <w:tc>
          <w:tcPr>
            <w:tcW w:w="79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0.716</w:t>
            </w:r>
          </w:p>
        </w:tc>
        <w:tc>
          <w:tcPr>
            <w:tcW w:w="159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4.695</w:t>
            </w:r>
          </w:p>
        </w:tc>
        <w:tc>
          <w:tcPr>
            <w:tcW w:w="108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0.6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0.71</w:t>
            </w:r>
          </w:p>
        </w:tc>
        <w:tc>
          <w:tcPr>
            <w:tcW w:w="162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0.0</w:t>
            </w:r>
          </w:p>
        </w:tc>
        <w:tc>
          <w:tcPr>
            <w:tcW w:w="103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8" w:type="dxa"/>
          </w:tcPr>
          <w:p>
            <w:pPr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rtl w:val="0"/>
              </w:rPr>
              <w:t>Двухуровн. базовый</w:t>
            </w:r>
          </w:p>
        </w:tc>
        <w:tc>
          <w:tcPr>
            <w:tcW w:w="107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  <w:t>0.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55</w:t>
            </w:r>
          </w:p>
        </w:tc>
        <w:tc>
          <w:tcPr>
            <w:tcW w:w="79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0.634</w:t>
            </w:r>
          </w:p>
        </w:tc>
        <w:tc>
          <w:tcPr>
            <w:tcW w:w="159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6.886</w:t>
            </w:r>
          </w:p>
        </w:tc>
        <w:tc>
          <w:tcPr>
            <w:tcW w:w="108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0.2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0.50</w:t>
            </w:r>
          </w:p>
        </w:tc>
        <w:tc>
          <w:tcPr>
            <w:tcW w:w="162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0.0</w:t>
            </w:r>
          </w:p>
        </w:tc>
        <w:tc>
          <w:tcPr>
            <w:tcW w:w="103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jc w:val="center"/>
        </w:trPr>
        <w:tc>
          <w:tcPr>
            <w:tcW w:w="1458" w:type="dxa"/>
          </w:tcPr>
          <w:p>
            <w:pPr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rtl w:val="0"/>
              </w:rPr>
              <w:t>Двухуровн. автомат</w:t>
            </w:r>
          </w:p>
        </w:tc>
        <w:tc>
          <w:tcPr>
            <w:tcW w:w="107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</w:rPr>
              <w:t>0.5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42</w:t>
            </w:r>
          </w:p>
        </w:tc>
        <w:tc>
          <w:tcPr>
            <w:tcW w:w="79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0.886</w:t>
            </w:r>
          </w:p>
        </w:tc>
        <w:tc>
          <w:tcPr>
            <w:tcW w:w="159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1.408</w:t>
            </w:r>
          </w:p>
        </w:tc>
        <w:tc>
          <w:tcPr>
            <w:tcW w:w="108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0.2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0.61</w:t>
            </w:r>
          </w:p>
        </w:tc>
        <w:tc>
          <w:tcPr>
            <w:tcW w:w="162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0.0</w:t>
            </w:r>
          </w:p>
        </w:tc>
        <w:tc>
          <w:tcPr>
            <w:tcW w:w="103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rtl w:val="0"/>
                <w:lang w:val="ru-RU"/>
              </w:rPr>
              <w:t>1</w:t>
            </w:r>
          </w:p>
        </w:tc>
      </w:tr>
    </w:tbl>
    <w:p>
      <w:pPr>
        <w:rPr>
          <w:rFonts w:hint="default" w:ascii="Times New Roman" w:hAnsi="Times New Roman" w:cs="Times New Roman"/>
          <w:sz w:val="20"/>
          <w:szCs w:val="20"/>
          <w:rtl w:val="0"/>
        </w:rPr>
      </w:pPr>
    </w:p>
    <w:p>
      <w:pPr>
        <w:ind w:firstLine="400" w:firstLineChars="200"/>
        <w:rPr>
          <w:rFonts w:hint="default" w:ascii="Times New Roman" w:hAnsi="Times New Roman" w:cs="Times New Roman"/>
          <w:sz w:val="20"/>
          <w:szCs w:val="20"/>
          <w:rtl w:val="0"/>
        </w:rPr>
      </w:pPr>
    </w:p>
    <w:p>
      <w:pPr>
        <w:ind w:firstLine="400" w:firstLineChars="200"/>
        <w:rPr>
          <w:rFonts w:hint="default" w:ascii="Times New Roman" w:hAnsi="Times New Roman" w:cs="Times New Roman"/>
          <w:sz w:val="20"/>
          <w:szCs w:val="20"/>
          <w:rtl w:val="0"/>
        </w:rPr>
      </w:pPr>
    </w:p>
    <w:p>
      <w:pPr>
        <w:ind w:firstLine="400" w:firstLineChars="200"/>
        <w:rPr>
          <w:rFonts w:hint="default" w:ascii="Times New Roman" w:hAnsi="Times New Roman" w:eastAsia="SimSun" w:cs="Times New Roman"/>
          <w:b w:val="0"/>
          <w:bCs w:val="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cs="Times New Roman"/>
          <w:sz w:val="20"/>
          <w:szCs w:val="20"/>
          <w:rtl w:val="0"/>
        </w:rPr>
        <w:t xml:space="preserve">Как видно из Таблицы 1, предложенный метод с </w:t>
      </w:r>
      <w:r>
        <w:rPr>
          <w:rFonts w:hint="default" w:ascii="Times New Roman" w:hAnsi="Times New Roman" w:cs="Times New Roman"/>
          <w:sz w:val="20"/>
          <w:szCs w:val="20"/>
          <w:rtl w:val="0"/>
          <w:lang w:val="ru-RU"/>
        </w:rPr>
        <w:t xml:space="preserve">двухуровневым </w:t>
      </w:r>
      <w:r>
        <w:rPr>
          <w:rFonts w:hint="default" w:ascii="Times New Roman" w:hAnsi="Times New Roman" w:cs="Times New Roman"/>
          <w:sz w:val="20"/>
          <w:szCs w:val="20"/>
          <w:rtl w:val="0"/>
        </w:rPr>
        <w:t>автоматом существенно превосходит остальные по F1-мере событий и значительно снижает число ложных срабатываний до 1.4</w:t>
      </w:r>
      <w:r>
        <w:rPr>
          <w:rFonts w:hint="default" w:ascii="Times New Roman" w:hAnsi="Times New Roman" w:cs="Times New Roman"/>
          <w:sz w:val="20"/>
          <w:szCs w:val="20"/>
          <w:rtl w:val="0"/>
          <w:lang w:val="ru-RU"/>
        </w:rPr>
        <w:t>08</w:t>
      </w:r>
      <w:r>
        <w:rPr>
          <w:rFonts w:hint="default" w:ascii="Times New Roman" w:hAnsi="Times New Roman" w:cs="Times New Roman"/>
          <w:sz w:val="20"/>
          <w:szCs w:val="20"/>
          <w:rtl w:val="0"/>
        </w:rPr>
        <w:t xml:space="preserve"> в минуту, сохраняя минимальную медианную задержку 0.2 секунды.</w:t>
      </w:r>
    </w:p>
    <w:p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rtl w:val="0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0"/>
          <w:szCs w:val="20"/>
          <w:lang w:val="en-US" w:eastAsia="zh-CN" w:bidi="ar"/>
        </w:rPr>
        <w:t>Отдельно следует отметить, что двухуровневое квантование без фильтрации не показало преимущества над одноуровневым базовым методом: значение Event-F1 ниже на 0.04, число ложных активаций выше на 1.10 в минуту.</w:t>
      </w:r>
    </w:p>
    <w:p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Показатель double_commands_per_transition во всех четырёх методах равен нулю, что указывает на отсутствие явления дробления команд в использованном наборе данных. Соответствующая часть гипотезы о снижении двойных срабатываний не может быть проверена на данном корпусе, что относится к ограничениям работы. Количество пропущенных команд также одинаково для всех методов и равно одному событию — это объясняется коротким эталонным интервалом, не проходящим порог IoU при сопоставлении событий, и не является следствием каузальной фильтрации.</w:t>
      </w:r>
    </w:p>
    <w:p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Times New Roman" w:hAnsi="Times New Roman" w:cs="Times New Roman"/>
          <w:sz w:val="20"/>
          <w:szCs w:val="20"/>
          <w:rtl w:val="0"/>
          <w:lang w:val="ru-RU"/>
        </w:rPr>
      </w:pPr>
      <w:r>
        <w:rPr>
          <w:rFonts w:hint="default" w:ascii="Times New Roman" w:hAnsi="Times New Roman" w:cs="Times New Roman"/>
          <w:sz w:val="20"/>
          <w:szCs w:val="20"/>
          <w:rtl w:val="0"/>
          <w:lang w:val="ru-RU"/>
        </w:rPr>
        <w:t xml:space="preserve">Гипотеза о том, что явное состояние TRANSITION и подтверждение новой команды несколькими последовательными окнами уменьшают ложные активации и двойные переключения ценой небольшой дополнительной задержки, подтверждена частично. Снижение ложных активаций и отсутствие роста задержки подтверждены экспериментально. Часть гипотезы о снижении двойных переключений не может быть проверена на данном корпусе, поскольку двойные срабатывания отсутствуют у всех методов. Стабилизирующий эффект автомата виден на </w:t>
      </w:r>
      <w:bookmarkStart w:id="0" w:name="_GoBack"/>
      <w:r>
        <w:rPr>
          <w:rFonts w:hint="default" w:ascii="Times New Roman" w:hAnsi="Times New Roman" w:cs="Times New Roman"/>
          <w:sz w:val="20"/>
          <w:szCs w:val="20"/>
          <w:rtl w:val="0"/>
          <w:lang w:val="ru-RU"/>
        </w:rPr>
        <w:t>рис</w:t>
      </w:r>
      <w:bookmarkEnd w:id="0"/>
      <w:r>
        <w:rPr>
          <w:rFonts w:hint="default" w:ascii="Times New Roman" w:hAnsi="Times New Roman" w:cs="Times New Roman"/>
          <w:sz w:val="20"/>
          <w:szCs w:val="20"/>
          <w:rtl w:val="0"/>
          <w:lang w:val="ru-RU"/>
        </w:rPr>
        <w:t>. 2, где выходная последовательность заметно глаже исходной.</w:t>
      </w: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  <w:t xml:space="preserve">Рис. 1 Зависимость FP/min от медианной задержки для конфигураций </w:t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двухуровнев</w:t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  <w:t>ого</w:t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 xml:space="preserve"> метод</w:t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 xml:space="preserve"> с конечным автоматом</w:t>
      </w:r>
    </w:p>
    <w:p>
      <w:pPr>
        <w:ind w:firstLine="480" w:firstLineChars="200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</w:pPr>
    </w:p>
    <w:p>
      <w:pPr>
        <w:ind w:firstLine="400" w:firstLineChars="200"/>
        <w:jc w:val="both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sz w:val="20"/>
          <w:szCs w:val="20"/>
          <w:rtl w:val="0"/>
          <w:lang w:val="ru-RU"/>
        </w:rPr>
        <w:drawing>
          <wp:inline distT="0" distB="0" distL="114300" distR="114300">
            <wp:extent cx="5269865" cy="2600325"/>
            <wp:effectExtent l="0" t="0" r="6985" b="9525"/>
            <wp:docPr id="5" name="Изображение 5" descr="validation_reliability_de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validation_reliability_dela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</w:pPr>
    </w:p>
    <w:p>
      <w:pPr>
        <w:ind w:firstLine="480" w:firstLineChars="200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  <w:t>Рис. 2 Offline-демонстратор: эталон, кластерная метка VQ, состояние автомата.</w:t>
      </w:r>
    </w:p>
    <w:p>
      <w:pPr>
        <w:ind w:firstLine="400" w:firstLineChars="200"/>
        <w:jc w:val="center"/>
        <w:rPr>
          <w:rFonts w:hint="default" w:ascii="Times New Roman" w:hAnsi="Times New Roman" w:cs="Times New Roman"/>
          <w:sz w:val="20"/>
          <w:szCs w:val="20"/>
          <w:rtl w:val="0"/>
          <w:lang w:val="ru-RU"/>
        </w:rPr>
      </w:pPr>
      <w:r>
        <w:rPr>
          <w:rFonts w:hint="default" w:ascii="Times New Roman" w:hAnsi="Times New Roman" w:cs="Times New Roman"/>
          <w:sz w:val="20"/>
          <w:szCs w:val="20"/>
          <w:rtl w:val="0"/>
          <w:lang w:val="ru-RU"/>
        </w:rPr>
        <w:drawing>
          <wp:inline distT="0" distB="0" distL="114300" distR="114300">
            <wp:extent cx="4422140" cy="3730625"/>
            <wp:effectExtent l="0" t="0" r="16510" b="3175"/>
            <wp:docPr id="6" name="Изображение 6" descr="offline_demo_rec_2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offline_demo_rec_2_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0" w:firstLineChars="200"/>
        <w:rPr>
          <w:rFonts w:hint="default" w:ascii="Times New Roman" w:hAnsi="Times New Roman" w:cs="Times New Roman"/>
          <w:sz w:val="20"/>
          <w:szCs w:val="20"/>
          <w:rtl w:val="0"/>
          <w:lang w:val="ru-RU"/>
        </w:rPr>
      </w:pPr>
    </w:p>
    <w:p>
      <w:pPr>
        <w:ind w:firstLine="720" w:firstLineChars="0"/>
        <w:rPr>
          <w:rFonts w:hint="default" w:ascii="Times New Roman" w:hAnsi="Times New Roman" w:cs="Times New Roman"/>
          <w:sz w:val="20"/>
          <w:szCs w:val="20"/>
          <w:rtl w:val="0"/>
        </w:rPr>
      </w:pPr>
    </w:p>
    <w:p>
      <w:pPr>
        <w:pStyle w:val="4"/>
        <w:spacing w:before="0"/>
        <w:ind w:firstLine="400" w:firstLineChars="2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Литература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ind w:firstLine="400" w:firstLineChars="20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Müller M. Dynamic time warping // Information retrieval for music and motion. – Springer, 2007. – </w:t>
      </w:r>
      <w:r>
        <w:rPr>
          <w:rFonts w:ascii="Times New Roman" w:hAnsi="Times New Roman" w:cs="Times New Roman"/>
          <w:sz w:val="20"/>
          <w:szCs w:val="20"/>
        </w:rPr>
        <w:t>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 69-84. – DOI: 10.1007/978-3-540-74048-3_4. 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ind w:firstLine="400" w:firstLineChars="20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Farha Y. A., Gall J. MS-TCN: Multi-stage temporal convolutional network for action segmentation // Proceedings of the IEEE/CVF Conference on Computer Vision and Pattern Recognition (CVPR). – 2019. – DOI: 10.1109/CVPR.2019.00646. 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ind w:firstLine="400" w:firstLineChars="20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Unsupervised Skeleton-Based Action Segmentation via Hierarchical Spatiotemporal Vector Quantization / U. Ahmed [et al.] // arXiv preprint arXiv:2604.15196. – 2026.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ind w:firstLine="400" w:firstLineChars="20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Validation of the Perception Neuron system for full-body motion / R. Sers [et al.] // PLoS ONE. – 2022. – </w:t>
      </w:r>
      <w:r>
        <w:rPr>
          <w:rFonts w:ascii="Times New Roman" w:hAnsi="Times New Roman" w:cs="Times New Roman"/>
          <w:sz w:val="20"/>
          <w:szCs w:val="20"/>
        </w:rPr>
        <w:t>Т</w:t>
      </w:r>
      <w:r>
        <w:rPr>
          <w:rFonts w:ascii="Times New Roman" w:hAnsi="Times New Roman" w:cs="Times New Roman"/>
          <w:sz w:val="20"/>
          <w:szCs w:val="20"/>
          <w:lang w:val="en-US"/>
        </w:rPr>
        <w:t>. 17, № 1. – DOI: 10.1371/journal.pone.0262730.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C059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altName w:val="Caladea"/>
    <w:panose1 w:val="02040502050405020303"/>
    <w:charset w:val="CC"/>
    <w:family w:val="roman"/>
    <w:pitch w:val="default"/>
    <w:sig w:usb0="00000000" w:usb1="00000000" w:usb2="00000000" w:usb3="00000000" w:csb0="000000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F20124"/>
    <w:multiLevelType w:val="multilevel"/>
    <w:tmpl w:val="63F20124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F53"/>
    <w:rsid w:val="000704CA"/>
    <w:rsid w:val="0013440C"/>
    <w:rsid w:val="00153176"/>
    <w:rsid w:val="00281E65"/>
    <w:rsid w:val="00563E20"/>
    <w:rsid w:val="007A7F53"/>
    <w:rsid w:val="00A40A6C"/>
    <w:rsid w:val="00DB42DE"/>
    <w:rsid w:val="00DD0744"/>
    <w:rsid w:val="02FD5617"/>
    <w:rsid w:val="1F7F645C"/>
    <w:rsid w:val="36FEE7F4"/>
    <w:rsid w:val="39B64DA6"/>
    <w:rsid w:val="3E5BA5CB"/>
    <w:rsid w:val="3EEE2AC6"/>
    <w:rsid w:val="3FAFD00E"/>
    <w:rsid w:val="3FF276E2"/>
    <w:rsid w:val="420F27A0"/>
    <w:rsid w:val="4C2C127E"/>
    <w:rsid w:val="4FFF6873"/>
    <w:rsid w:val="5D7EAEE2"/>
    <w:rsid w:val="5DBD4360"/>
    <w:rsid w:val="5E3AFB25"/>
    <w:rsid w:val="5EBD4C31"/>
    <w:rsid w:val="5FB91F04"/>
    <w:rsid w:val="5FF7D873"/>
    <w:rsid w:val="6BEF0E74"/>
    <w:rsid w:val="6BFF1A49"/>
    <w:rsid w:val="6E19343A"/>
    <w:rsid w:val="6F1FE178"/>
    <w:rsid w:val="6FFE6552"/>
    <w:rsid w:val="6FFF4FCD"/>
    <w:rsid w:val="76F2BF93"/>
    <w:rsid w:val="773E299C"/>
    <w:rsid w:val="77EBE8ED"/>
    <w:rsid w:val="7A55399B"/>
    <w:rsid w:val="7A77AF32"/>
    <w:rsid w:val="7AFD6C0F"/>
    <w:rsid w:val="7BAF5CE4"/>
    <w:rsid w:val="7D6E70FF"/>
    <w:rsid w:val="7DC78589"/>
    <w:rsid w:val="7EEE232C"/>
    <w:rsid w:val="7F499CE3"/>
    <w:rsid w:val="7F5A2073"/>
    <w:rsid w:val="7F7FFF55"/>
    <w:rsid w:val="7FCB7532"/>
    <w:rsid w:val="7FDF748D"/>
    <w:rsid w:val="8E3FC02F"/>
    <w:rsid w:val="B2E9C42E"/>
    <w:rsid w:val="B7F933EE"/>
    <w:rsid w:val="BB7F10F6"/>
    <w:rsid w:val="BDFA4C1A"/>
    <w:rsid w:val="BFDC52E9"/>
    <w:rsid w:val="BFDFA5E1"/>
    <w:rsid w:val="BFED0E2D"/>
    <w:rsid w:val="C3FB6D9F"/>
    <w:rsid w:val="CD6AAB44"/>
    <w:rsid w:val="D7EE3C1B"/>
    <w:rsid w:val="D9AB1082"/>
    <w:rsid w:val="DD5F0237"/>
    <w:rsid w:val="DEBB85DF"/>
    <w:rsid w:val="DEFF1CD8"/>
    <w:rsid w:val="E1EDD3E9"/>
    <w:rsid w:val="E1FE53E5"/>
    <w:rsid w:val="E7BDF68B"/>
    <w:rsid w:val="E7FFDF11"/>
    <w:rsid w:val="E82A50B4"/>
    <w:rsid w:val="EF7F79A2"/>
    <w:rsid w:val="EFEFB212"/>
    <w:rsid w:val="EFF594BD"/>
    <w:rsid w:val="EFFEE984"/>
    <w:rsid w:val="EFFF8B89"/>
    <w:rsid w:val="F7774CEF"/>
    <w:rsid w:val="F7EF65ED"/>
    <w:rsid w:val="F7FEE1BB"/>
    <w:rsid w:val="FA5EDA78"/>
    <w:rsid w:val="FEED88BB"/>
    <w:rsid w:val="FEFFFC59"/>
    <w:rsid w:val="FF9F538A"/>
    <w:rsid w:val="FFBA52F2"/>
    <w:rsid w:val="FFF7FB14"/>
    <w:rsid w:val="FFF9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 w:after="24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25" w:after="225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 w:after="24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55" w:after="255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55" w:after="255"/>
      <w:outlineLvl w:val="4"/>
    </w:pPr>
    <w:rPr>
      <w:b/>
      <w:bCs/>
      <w:sz w:val="18"/>
      <w:szCs w:val="18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2">
    <w:name w:val="Table Grid"/>
    <w:basedOn w:val="9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459</Words>
  <Characters>2621</Characters>
  <Lines>21</Lines>
  <Paragraphs>6</Paragraphs>
  <TotalTime>7</TotalTime>
  <ScaleCrop>false</ScaleCrop>
  <LinksUpToDate>false</LinksUpToDate>
  <CharactersWithSpaces>3074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2026-09-15T10:42:00Z</dcterms:created>
  <dc:creator>sasha</dc:creator>
  <cp:lastModifiedBy>sasha</cp:lastModifiedBy>
  <dcterms:modified xsi:type="dcterms:W3CDTF">2026-09-19T23:33:23Z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