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F7AB67">
      <w:pPr>
        <w:jc w:val="center"/>
        <w:rPr>
          <w:rFonts w:ascii="Times New Roman" w:hAnsi="Times New Roman" w:cs="Times New Roman"/>
          <w:color w:val="000000"/>
          <w:sz w:val="24"/>
          <w:szCs w:val="24"/>
          <w:shd w:val="clear" w:color="auto" w:fill="FFFFFF"/>
        </w:rPr>
      </w:pPr>
    </w:p>
    <w:p w14:paraId="739C12F8">
      <w:pPr>
        <w:jc w:val="center"/>
        <w:rPr>
          <w:rFonts w:ascii="Times New Roman" w:hAnsi="Times New Roman" w:cs="Times New Roman"/>
          <w:color w:val="000000"/>
          <w:sz w:val="24"/>
          <w:szCs w:val="24"/>
          <w:shd w:val="clear" w:color="auto" w:fill="FFFFFF"/>
        </w:rPr>
      </w:pPr>
    </w:p>
    <w:p w14:paraId="58BB37E0">
      <w:pPr>
        <w:jc w:val="center"/>
        <w:rPr>
          <w:rFonts w:ascii="Times New Roman" w:hAnsi="Times New Roman" w:cs="Times New Roman"/>
          <w:color w:val="000000"/>
          <w:sz w:val="24"/>
          <w:szCs w:val="24"/>
          <w:shd w:val="clear" w:color="auto" w:fill="FFFFFF"/>
        </w:rPr>
      </w:pPr>
    </w:p>
    <w:p w14:paraId="4D6C9B1F">
      <w:pPr>
        <w:jc w:val="center"/>
        <w:rPr>
          <w:rFonts w:ascii="Times New Roman" w:hAnsi="Times New Roman" w:cs="Times New Roman"/>
          <w:b/>
          <w:bCs/>
          <w:color w:val="000000"/>
          <w:sz w:val="24"/>
          <w:szCs w:val="24"/>
          <w:shd w:val="clear" w:color="auto" w:fill="FFFFFF"/>
        </w:rPr>
      </w:pPr>
    </w:p>
    <w:p w14:paraId="6246FF9C">
      <w:pPr>
        <w:jc w:val="center"/>
        <w:rPr>
          <w:rStyle w:val="32"/>
          <w:rFonts w:ascii="Times New Roman" w:hAnsi="Times New Roman" w:cs="Times New Roman"/>
          <w:color w:val="auto"/>
          <w:sz w:val="28"/>
          <w:szCs w:val="28"/>
        </w:rPr>
      </w:pPr>
      <w:r>
        <w:rPr>
          <w:rStyle w:val="32"/>
          <w:rFonts w:ascii="Times New Roman" w:hAnsi="Times New Roman" w:cs="Times New Roman"/>
          <w:color w:val="auto"/>
          <w:sz w:val="28"/>
          <w:szCs w:val="28"/>
        </w:rPr>
        <w:t>Navigating Nonprofit Marketing Strategies in Urban Centers within a Globalized Context</w:t>
      </w:r>
    </w:p>
    <w:p w14:paraId="2CEF5BE0">
      <w:pPr>
        <w:jc w:val="center"/>
        <w:rPr>
          <w:rFonts w:ascii="Times New Roman" w:hAnsi="Times New Roman" w:cs="Times New Roman"/>
          <w:sz w:val="24"/>
          <w:szCs w:val="24"/>
          <w:lang w:val="en-US"/>
        </w:rPr>
      </w:pPr>
    </w:p>
    <w:p w14:paraId="4005D7C4">
      <w:pPr>
        <w:jc w:val="center"/>
        <w:rPr>
          <w:rFonts w:ascii="Times New Roman" w:hAnsi="Times New Roman" w:cs="Times New Roman"/>
          <w:sz w:val="24"/>
          <w:szCs w:val="24"/>
          <w:lang w:val="en-US"/>
        </w:rPr>
      </w:pPr>
    </w:p>
    <w:p w14:paraId="3D3CE3DF">
      <w:pPr>
        <w:jc w:val="center"/>
        <w:rPr>
          <w:rFonts w:ascii="Times New Roman" w:hAnsi="Times New Roman" w:cs="Times New Roman"/>
          <w:sz w:val="24"/>
          <w:szCs w:val="24"/>
          <w:lang w:val="en-US"/>
        </w:rPr>
      </w:pPr>
    </w:p>
    <w:p w14:paraId="3FC11D20">
      <w:pPr>
        <w:jc w:val="center"/>
        <w:rPr>
          <w:rFonts w:ascii="Times New Roman" w:hAnsi="Times New Roman" w:cs="Times New Roman"/>
          <w:sz w:val="24"/>
          <w:szCs w:val="24"/>
          <w:lang w:val="en-US"/>
        </w:rPr>
      </w:pPr>
    </w:p>
    <w:p w14:paraId="5192EDF9">
      <w:pPr>
        <w:jc w:val="center"/>
        <w:rPr>
          <w:rFonts w:ascii="Times New Roman" w:hAnsi="Times New Roman" w:cs="Times New Roman"/>
          <w:sz w:val="24"/>
          <w:szCs w:val="24"/>
          <w:lang w:val="en-US"/>
        </w:rPr>
      </w:pPr>
    </w:p>
    <w:p w14:paraId="47DF80E6">
      <w:pPr>
        <w:jc w:val="center"/>
        <w:rPr>
          <w:rFonts w:ascii="Times New Roman" w:hAnsi="Times New Roman" w:cs="Times New Roman"/>
          <w:sz w:val="24"/>
          <w:szCs w:val="24"/>
          <w:lang w:val="en-US"/>
        </w:rPr>
      </w:pPr>
    </w:p>
    <w:p w14:paraId="482401C4">
      <w:pPr>
        <w:jc w:val="center"/>
        <w:rPr>
          <w:rFonts w:ascii="Times New Roman" w:hAnsi="Times New Roman" w:cs="Times New Roman"/>
          <w:sz w:val="24"/>
          <w:szCs w:val="24"/>
          <w:lang w:val="en-US"/>
        </w:rPr>
      </w:pPr>
    </w:p>
    <w:p w14:paraId="336A51DD">
      <w:pPr>
        <w:jc w:val="center"/>
        <w:rPr>
          <w:rFonts w:ascii="Times New Roman" w:hAnsi="Times New Roman" w:cs="Times New Roman"/>
          <w:sz w:val="24"/>
          <w:szCs w:val="24"/>
          <w:lang w:val="en-US"/>
        </w:rPr>
      </w:pPr>
    </w:p>
    <w:p w14:paraId="3EB1FA59">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Alexandra Mae G. Acedo</w:t>
      </w:r>
    </w:p>
    <w:p w14:paraId="7DE46833">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w:t>
      </w:r>
      <w:r>
        <w:rPr>
          <w:rFonts w:ascii="Times New Roman" w:hAnsi="Times New Roman" w:cs="Times New Roman"/>
          <w:b/>
          <w:bCs/>
          <w:sz w:val="24"/>
          <w:szCs w:val="24"/>
          <w:vertAlign w:val="superscript"/>
          <w:lang w:val="en-US"/>
        </w:rPr>
        <w:t>nd</w:t>
      </w:r>
      <w:r>
        <w:rPr>
          <w:rFonts w:ascii="Times New Roman" w:hAnsi="Times New Roman" w:cs="Times New Roman"/>
          <w:b/>
          <w:bCs/>
          <w:sz w:val="24"/>
          <w:szCs w:val="24"/>
          <w:lang w:val="en-US"/>
        </w:rPr>
        <w:t xml:space="preserve"> Year - BSCS</w:t>
      </w:r>
    </w:p>
    <w:p w14:paraId="6E60F348">
      <w:pPr>
        <w:jc w:val="center"/>
        <w:rPr>
          <w:rFonts w:ascii="Times New Roman" w:hAnsi="Times New Roman" w:cs="Times New Roman"/>
          <w:sz w:val="24"/>
          <w:szCs w:val="24"/>
          <w:lang w:val="en-US"/>
        </w:rPr>
      </w:pPr>
    </w:p>
    <w:p w14:paraId="04329454">
      <w:pPr>
        <w:jc w:val="center"/>
        <w:rPr>
          <w:rFonts w:ascii="Times New Roman" w:hAnsi="Times New Roman" w:cs="Times New Roman"/>
          <w:sz w:val="24"/>
          <w:szCs w:val="24"/>
          <w:lang w:val="en-US"/>
        </w:rPr>
      </w:pPr>
    </w:p>
    <w:p w14:paraId="44BC693A">
      <w:pPr>
        <w:jc w:val="center"/>
        <w:rPr>
          <w:rFonts w:ascii="Times New Roman" w:hAnsi="Times New Roman" w:cs="Times New Roman"/>
          <w:sz w:val="24"/>
          <w:szCs w:val="24"/>
          <w:lang w:val="en-US"/>
        </w:rPr>
      </w:pPr>
    </w:p>
    <w:p w14:paraId="0E81DD58">
      <w:pPr>
        <w:jc w:val="center"/>
        <w:rPr>
          <w:rFonts w:ascii="Times New Roman" w:hAnsi="Times New Roman" w:cs="Times New Roman"/>
          <w:sz w:val="24"/>
          <w:szCs w:val="24"/>
          <w:lang w:val="en-US"/>
        </w:rPr>
      </w:pPr>
    </w:p>
    <w:p w14:paraId="72AA3F55">
      <w:pPr>
        <w:jc w:val="center"/>
        <w:rPr>
          <w:rFonts w:ascii="Times New Roman" w:hAnsi="Times New Roman" w:cs="Times New Roman"/>
          <w:sz w:val="24"/>
          <w:szCs w:val="24"/>
          <w:lang w:val="en-US"/>
        </w:rPr>
      </w:pPr>
    </w:p>
    <w:p w14:paraId="7DEB3FDA">
      <w:pPr>
        <w:jc w:val="center"/>
        <w:rPr>
          <w:rFonts w:ascii="Times New Roman" w:hAnsi="Times New Roman" w:cs="Times New Roman"/>
          <w:sz w:val="24"/>
          <w:szCs w:val="24"/>
          <w:lang w:val="en-US"/>
        </w:rPr>
      </w:pPr>
    </w:p>
    <w:p w14:paraId="50383AC3">
      <w:pPr>
        <w:jc w:val="center"/>
        <w:rPr>
          <w:rFonts w:ascii="Times New Roman" w:hAnsi="Times New Roman" w:cs="Times New Roman"/>
          <w:sz w:val="24"/>
          <w:szCs w:val="24"/>
          <w:lang w:val="en-US"/>
        </w:rPr>
      </w:pPr>
    </w:p>
    <w:p w14:paraId="7CF91A0B">
      <w:pPr>
        <w:jc w:val="center"/>
        <w:rPr>
          <w:rFonts w:ascii="Times New Roman" w:hAnsi="Times New Roman" w:cs="Times New Roman"/>
          <w:sz w:val="24"/>
          <w:szCs w:val="24"/>
          <w:lang w:val="en-US"/>
        </w:rPr>
      </w:pPr>
    </w:p>
    <w:p w14:paraId="0990112D">
      <w:pPr>
        <w:jc w:val="center"/>
        <w:rPr>
          <w:rFonts w:ascii="Times New Roman" w:hAnsi="Times New Roman" w:cs="Times New Roman"/>
          <w:sz w:val="24"/>
          <w:szCs w:val="24"/>
          <w:lang w:val="en-US"/>
        </w:rPr>
      </w:pPr>
    </w:p>
    <w:p w14:paraId="645337CD">
      <w:pPr>
        <w:jc w:val="center"/>
        <w:rPr>
          <w:rFonts w:ascii="Times New Roman" w:hAnsi="Times New Roman" w:cs="Times New Roman"/>
          <w:sz w:val="24"/>
          <w:szCs w:val="24"/>
          <w:lang w:val="en-US"/>
        </w:rPr>
      </w:pPr>
    </w:p>
    <w:p w14:paraId="28BDD8D1">
      <w:pPr>
        <w:rPr>
          <w:rFonts w:ascii="Times New Roman" w:hAnsi="Times New Roman" w:cs="Times New Roman"/>
          <w:sz w:val="24"/>
          <w:szCs w:val="24"/>
          <w:lang w:val="en-US"/>
        </w:rPr>
      </w:pPr>
    </w:p>
    <w:p w14:paraId="5113C1F1">
      <w:pPr>
        <w:rPr>
          <w:rFonts w:ascii="Times New Roman" w:hAnsi="Times New Roman" w:cs="Times New Roman"/>
          <w:sz w:val="24"/>
          <w:szCs w:val="24"/>
          <w:lang w:val="en-US"/>
        </w:rPr>
      </w:pPr>
    </w:p>
    <w:p w14:paraId="64E1B6EE">
      <w:pPr>
        <w:jc w:val="center"/>
        <w:rPr>
          <w:rStyle w:val="32"/>
          <w:rFonts w:ascii="Times New Roman" w:hAnsi="Times New Roman" w:cs="Times New Roman"/>
          <w:color w:val="auto"/>
          <w:sz w:val="28"/>
          <w:szCs w:val="28"/>
        </w:rPr>
      </w:pPr>
      <w:r>
        <w:rPr>
          <w:rStyle w:val="32"/>
          <w:rFonts w:ascii="Times New Roman" w:hAnsi="Times New Roman" w:cs="Times New Roman"/>
          <w:color w:val="auto"/>
          <w:sz w:val="28"/>
          <w:szCs w:val="28"/>
        </w:rPr>
        <w:t>Introduction</w:t>
      </w:r>
    </w:p>
    <w:p w14:paraId="64D3836D">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Marketing is gaining prominence and importance in the thorough study of nonprofit organizations, as it is vital to their entire efficacy and outreach. Research on nonprofit organizations (NPOs) has generally concentrated on social service organizations, which include a variety of fundraising tactics critical to their financial sustainability and impact. Interdisciplinary approaches are essential for gaining a clear and complete understanding of charitable organizations. Nonprofits in Toledo spend a lot of time collecting data but fail to use it effectively. A lack of data sharing among organizations, as well as staff with weak research skills, contribute considerably to inefficiencies within nonprofit organizations. Recommended solutions include comprehensive training in better research methods, increased support and resources from funders, provision of accessible and centralized databases, and active engagement with higher education institutions to address the capacity issues faced by these organizations. Improving data management is critical for improving grant applications, evaluation procedures, and program planning in NGOs. Globalization is vital for increasing the quality of life in society through cross-sector collaboration. The theoretical foundation of non-profit sectors is built on a variety of economic theories, including government and market failure theory. These concepts offer a framework for comprehending the importance of non-profit organizations, especially in areas where the needs of the populace may not be adequately met by the private sector and public agencies. There are notable operational and contextual distinctions between the non-profit sectors in the United States and Europe. There are many different theories about how the state and nonprofit sectors interact, including liberal, social-democratic, corporatist, and statist theories. These models show how different political circumstances can affect the duties, responsibilities, and efficacy of the non-profit sector in different nations by illuminating the spectrum of interactions and support between governmental entities and non-profit organizations.</w:t>
      </w:r>
    </w:p>
    <w:p w14:paraId="29B0C2FF">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In the vibrant world of nonprofit organizations (NPOs), the quest for survival and success is akin to navigating a complex dance. As these organizations strive to fulfill their missions, they face an ever-growing competition for funding and resources, compelling them to rethink their strategies. It sets the stage for a compelling exploration of how effective management and innovative marketing can serve as powerful allies in this endeavor. Resource dependency theory emerges as a guiding principle, illustrating that NPOs must adeptly respond to external pressures to thrive. This theory highlights the delicate balance NPOs must maintain, as their existence often hinges on the goodwill of donors and the shifting tides of public interest. In this context, marketing becomes not just a tool but a lifeline, enabling NPOs to amplify their voices, connect with supporters, and secure the vital resources they need to continue their impactful work. Yet, it also reveals a paradox within the nonprofit sector: the tendency for organizations to mimic one another in pursuit of legitimacy. This phenomenon, rooted in institutional theory, can lead to a homogenization of strategies where creativity and innovation take a backseat. The challenge lies in encouraging NPOs to embrace their unique identities while still gaining the recognition they seek. The research aims to illuminate pathways for NPOs to break free from conventional molds and craft distinctive marketing narratives that resonate with their audiences. At the heart of this exploration is a focus on the intersection of art and accounting within nonprofit theater management. This intriguing juxtaposition invites a deeper examination of how these seemingly disparate realms can harmonize to enhance operational effectiveness and artistic expression. By delving into this relationship, the study seeks to uncover insights that empower NPOs to leverage marketing as a strategic asset, ultimately enriching their missions and fostering deeper connections with their communities. In essence, it paints a vivid picture of the challenges and opportunities that lie ahead for NPOs and emphasizes the critical role of marketing in navigating the complexities of fundraising and audience engagement, while also addressing the theoretical frameworks that will guide the research. By bridging the gap between art and management, this study aspires to inspire NPOs to embrace innovative marketing strategies that not only secure funding but also elevate their artistic ensured endeavors.</w:t>
      </w:r>
    </w:p>
    <w:p w14:paraId="41173CCD">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In the heart of Toledo, Ohio, a pressing challenge looms over the landscape of non-profit organizations: the need for robust research capacity. As the city grapples with economic decline and social needs, small to medium-sized non-profits find themselves at a crossroads, striving to make impactful decisions amidst dwindling resources. It embarks on a journey to uncover the intricacies of these organizations' research practices, illuminating the gaps in data collection and analysis that hinder their effectiveness. The study is driven by two pivotal questions: How much research capacity do non-profits possess, and how much do they truly require? By engaging with a diverse array of organizations, the research aims to diagnose their data needs and develop tailored programming to address them. The focus is not merely on the numbers but on the stories and experiences that shape the community's identity and pride. Through a detailed survey and in-depth interviews, the project seeks to empower non-profits with the tools and knowledge necessary to harness their data effectively. The findings will reveal the extent of their research capabilities and highlight the critical areas where training and support are essential. Ultimately, this initiative aspires to transform the way non-profits operate, enabling them to collect, manage, and utilize data in ways that enhance their programs and better serve the communities they represent. In a city marked by challenges, the potential for growth and improvement lies in the hands of those who dare to innovate and adapt, making this research not just a study, but a catalyst for change.</w:t>
      </w:r>
    </w:p>
    <w:p w14:paraId="1DA3F809">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In an era marked by globalization, the role of non-profit organizations (NPOs) has surged, particularly in developed nations, where they have become pivotal in enhancing the quality of life within communities. This growth is largely fueled by public initiatives that recognize the essential contributions of NPOs in addressing social issues and fostering educational opportunities. As these organizations flourish, they create a unique synergy through collaboration with the private and public sectors, leading to innovative solutions that benefit society at large. In an era marked by globalization, the role of non-profit organizations (NPOs) has surged dramatically, particularly in developed nations, where they have become pivotal in enhancing the quality of life within communities. This growth is largely fueled by public initiatives that recognize the essential contributions of NPOs in addressing pressing social issues and fostering educational opportunities for diverse populations. As these organizations flourish, they create a unique synergy through collaboration with the private and public sectors, leading to innovative solutions that benefit society at large. The landscape of non-profit work is diverse, with organizations actively engaged in social care, education, environmental protection, and various community services. Moreover, the financial dynamics of the non-profit sector are influenced by external factors such as development agencies and state support, which play a crucial role in nurturing these organizations. In the United States, for instance, the high costs of education have prompted a greater reliance on NPOs to provide financial assistance and promote access to higher education. This reliance reflects a broader trend where NPOs are not only seen as charitable entities but also as essential players in the economic landscape, contributing to the overall health of national economies. As the non-profit sector continues to evolve, it becomes increasingly important to understand the distinctions between its operations in different regions, particularly between the American and European contexts. This comparative analysis reveals how historical, cultural, and economic factors shape the effectiveness and significance of NPOs in various countries. Ultimately, the paper aims to illuminate the critical role of the non-profit sector in a globalized world, advocating for its recognition as a vital component of societal progress and economic stability. Through this exploration, we can appreciate the transformative power of non-profit organizations and their potential to drive meaningful change in communities worldwide.</w:t>
      </w:r>
    </w:p>
    <w:p w14:paraId="198E417E">
      <w:pPr>
        <w:ind w:firstLine="720" w:firstLineChars="0"/>
        <w:jc w:val="both"/>
        <w:rPr>
          <w:rFonts w:hint="default" w:ascii="Times New Roman" w:hAnsi="Times New Roman"/>
          <w:sz w:val="24"/>
          <w:szCs w:val="24"/>
          <w:lang w:val="en-US"/>
        </w:rPr>
      </w:pPr>
    </w:p>
    <w:p w14:paraId="755855B0">
      <w:pPr>
        <w:jc w:val="center"/>
        <w:rPr>
          <w:rStyle w:val="32"/>
          <w:rFonts w:ascii="Times New Roman" w:hAnsi="Times New Roman" w:cs="Times New Roman"/>
          <w:color w:val="auto"/>
          <w:sz w:val="24"/>
          <w:szCs w:val="24"/>
        </w:rPr>
      </w:pPr>
      <w:r>
        <w:rPr>
          <w:rStyle w:val="32"/>
          <w:rFonts w:ascii="Times New Roman" w:hAnsi="Times New Roman" w:cs="Times New Roman"/>
          <w:color w:val="auto"/>
          <w:sz w:val="24"/>
          <w:szCs w:val="24"/>
        </w:rPr>
        <w:t>Body</w:t>
      </w:r>
    </w:p>
    <w:p w14:paraId="3021B503">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The realm of nonprofit organizations (NPOs) is a rich tapestry woven from diverse threads of research, each contributing to a deeper understanding of their unique challenges and opportunities. The main areas of focus in NPO research encompass a variety of disciplines, including economics, sociology, management, and marketing. Scholars examine the operational dynamics of NPOs, their relationships with stakeholders, and the impact of external factors such as policy changes and economic fluctuations. This multifaceted approach allows researchers to dissect the complexities of NPOs, revealing insights that can inform effective management practices and enhance organizational sustainability. In recent years, marketing has gained significant traction within the academic literature of NPOs, emerging as a critical area of study. This shift can be attributed to the increasing competition for funding and resources that NPOs face in a crowded marketplace. As traditional funding sources become more limited, NPOs are compelled to adopt innovative marketing strategies to attract donors, engage volunteers, and build lasting relationships with their communities. The recognition that effective marketing can enhance visibility and support has prompted researchers to explore its role as a vital management function within NPOs. Consequently, marketing is no longer viewed as an ancillary activity but rather as an essential component of organizational strategy. Within the NPO marketing literature, several topics are commonly discussed, reflecting the diverse challenges and opportunities that organizations encounter. Key areas of focus include communication strategies, relationship marketing, and strategic marketing planning. Researchers delve into how NPOs can effectively convey their missions and values to resonate with potential supporters, emphasizing the importance of storytelling and emotional engagement. Additionally, the concept of relationship marketing is explored, highlighting the need for NPOs to cultivate long-term connections with stakeholders, including donors, volunteers, and beneficiaries. This approach fosters loyalty and encourages ongoing support, which is crucial for the sustainability of NPOs. Furthermore, strategic marketing planning is examined, providing insights into how NPOs can align their marketing efforts with their overall organizational goals, ensuring that resources are utilized effectively. The interdisciplinary nature of NPO research offers significant benefits, enriching the study of these organizations by integrating diverse perspectives and methodologies. By drawing on insights from economics, sociology, psychology, and management, researchers can develop a more comprehensive understanding of the factors that influence NPO performance. For instance, economic theories can illuminate the financial challenges faced by NPOs, while sociological perspectives can shed light on the social dynamics that shape stakeholder relationships. The study of nonprofit organizations is a dynamic and multifaceted field that encompasses a wide array of research areas. As marketing continues to gain prominence in the academic literature, it offers valuable insights into how NPOs can effectively engage with their stakeholders and secure vital resources. By embracing interdisciplinary approaches, researchers can deepen their understanding of NPOs, ultimately contributing to the development of innovative strategies that enhance organizational effectiveness and sustainability. Through this collaborative lens, the future of NPO research holds the promise of unlocking new pathways for growth and impact in the nonprofit sector. </w:t>
      </w:r>
    </w:p>
    <w:p w14:paraId="48B5D58E">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Nonprofit organizations in Toledo, Ohio, are at the forefront of addressing pressing social issues, yet they face significant challenges in their research data practices. One of the primary obstacles is the lack of formal research training among staff and volunteers. Many organizations operate with limited personnel, often comprising only a handful of employees and volunteers who juggle multiple responsibilities. Consequently, the absence of dedicated research expertise leads to inefficient data collection and management processes. Furthermore, nonprofits frequently collect data that remains underutilized, as they lack the skills to analyze and apply it effectively to inform their programs and secure funding. Another challenge is the perception of data collection as a burdensome task rather than a valuable tool for enhancing organizational impact. This mindset can stifle innovation and discourage staff from engaging with data-driven practices. Additionally, many nonprofits struggle with the integration of data management systems, resulting in fragmented information that hampers their ability to present a cohesive narrative to funders and stakeholders. The lack of neighborhood-specific data further complicates matters, as organizations often fail to capture the unique needs and assets of the communities they serve. To overcome these challenges, nonprofits in Toledo must prioritize the improvement of their research data practices. One effective approach is to invest in comprehensive training programs for staff and volunteers. By equipping them with the necessary skills in research design, data management, and analysis, organizations can foster a culture of data-driven decision-making. Training should focus on practical applications, enabling participants to develop research questions that align with their organizational goals and to utilize qualitative and quantitative methods effectively. Moreover, nonprofits can enhance their data practices by collaborating with local universities and higher education institutions. Engaging students and faculty in community-based research initiatives can provide valuable support in data collection and analysis. This partnership not only expands the research capacity of nonprofits but also offers students hands-on experience in real-world applications of their academic knowledge. Non-profit organizations (NPOs) serve as vital pillars in the fabric of society, primarily aimed at enhancing the quality of life for individuals and communities. Their primary objective is to address social issues, promote education, and provide essential services that may be overlooked by the private and public sectors. By focusing on the welfare of society rather than profit generation, NPOs strive to create a positive impact, fostering community development and empowerment. </w:t>
      </w:r>
    </w:p>
    <w:p w14:paraId="569FEC27">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This altruistic mission is often driven by a commitment to social justice, equality, and the betterment of human conditions. However, the journey of non-profit organizations is fraught with challenges that can hinder their effectiveness and sustainability. One of the most pressing issues is the lack of adequate funding. Many NPOs rely heavily on donations, grants, and government support, which can be unpredictable and insufficient. This financial instability often leads to a shortage of resources, limiting their ability to hire qualified staff and maintain operational efficiency. Additionally, NPOs face bureaucratic hurdles, including complex regulations and compliance requirements that can divert attention from their core missions. The competition for funding and resources is another significant challenge, as numerous organizations vie for the same pool of financial support, making it difficult for some to secure the necessary funds to operate effectively. Furthermore, the reliance on volunteers, while beneficial, can also pose challenges, as many NPOs struggle to recruit and retain skilled volunteers who are committed to their missions. The non-profit sectors in the United States and Europe exhibit key differences shaped by historical, cultural, and economic contexts. In the U.S., the non-profit sector is characterized by a strong emphasis on individual philanthropy and a diverse range of organizations, including public charities, private foundations, and social enterprises. This landscape encourages innovation and competition, allowing NPOs to operate with a degree of flexibility. Conversely, the European non-profit sector tends to be more integrated with government systems, often receiving substantial state support and operating within a framework of social welfare policies. This relationship can lead to a more stable funding environment but may also result in increased bureaucratic oversight. Additionally, European NPOs often focus on collective social goals, reflecting a more community-oriented approach compared to the individualistic tendencies observed in the U.S. Non-profit organizations play a crucial role in contributing to national economies, often acting as catalysts for social and economic development. By addressing social issues such as poverty, education, and healthcare, NPOs help to alleviate the burden on government resources and promote a healthier, more educated populace. This, in turn, can lead to increased productivity and economic growth. Furthermore, NPOs create jobs and stimulate local economies by employing staff and engaging volunteers, who contribute to the workforce. The services provided by NPOs can also enhance the overall quality of life, making communities more attractive for businesses and investors. In essence, the work of non-profit organizations not only fulfills immediate social needs but also fosters long-term economic stability and growth.</w:t>
      </w:r>
    </w:p>
    <w:p w14:paraId="185BA105">
      <w:pPr>
        <w:jc w:val="both"/>
        <w:rPr>
          <w:rFonts w:hint="default" w:ascii="Times New Roman" w:hAnsi="Times New Roman" w:cs="Times New Roman"/>
          <w:sz w:val="24"/>
          <w:szCs w:val="24"/>
          <w:lang w:val="en-US"/>
        </w:rPr>
      </w:pPr>
    </w:p>
    <w:p w14:paraId="5EDEF807">
      <w:pPr>
        <w:jc w:val="both"/>
        <w:rPr>
          <w:rFonts w:ascii="Times New Roman" w:hAnsi="Times New Roman" w:cs="Times New Roman"/>
          <w:sz w:val="24"/>
          <w:szCs w:val="24"/>
          <w:lang w:val="en-US"/>
        </w:rPr>
      </w:pPr>
    </w:p>
    <w:p w14:paraId="1CDACAC0">
      <w:pPr>
        <w:jc w:val="both"/>
        <w:rPr>
          <w:rFonts w:ascii="Times New Roman" w:hAnsi="Times New Roman" w:cs="Times New Roman"/>
          <w:sz w:val="24"/>
          <w:szCs w:val="24"/>
          <w:lang w:val="en-US"/>
        </w:rPr>
      </w:pPr>
    </w:p>
    <w:p w14:paraId="7AE2CD3E">
      <w:pPr>
        <w:jc w:val="both"/>
        <w:rPr>
          <w:rFonts w:ascii="Times New Roman" w:hAnsi="Times New Roman" w:cs="Times New Roman"/>
          <w:sz w:val="24"/>
          <w:szCs w:val="24"/>
          <w:lang w:val="en-US"/>
        </w:rPr>
      </w:pPr>
    </w:p>
    <w:p w14:paraId="248583F8">
      <w:pPr>
        <w:jc w:val="center"/>
        <w:rPr>
          <w:rFonts w:ascii="Times New Roman" w:hAnsi="Times New Roman" w:cs="Times New Roman"/>
          <w:sz w:val="24"/>
          <w:szCs w:val="24"/>
          <w:lang w:val="en-US"/>
        </w:rPr>
      </w:pPr>
    </w:p>
    <w:p w14:paraId="1159C731">
      <w:pPr>
        <w:jc w:val="center"/>
        <w:rPr>
          <w:rStyle w:val="32"/>
          <w:rFonts w:ascii="Times New Roman" w:hAnsi="Times New Roman" w:cs="Times New Roman"/>
          <w:color w:val="auto"/>
          <w:sz w:val="28"/>
          <w:szCs w:val="28"/>
        </w:rPr>
      </w:pPr>
      <w:r>
        <w:rPr>
          <w:rStyle w:val="32"/>
          <w:rFonts w:ascii="Times New Roman" w:hAnsi="Times New Roman" w:cs="Times New Roman"/>
          <w:color w:val="auto"/>
          <w:sz w:val="28"/>
          <w:szCs w:val="28"/>
        </w:rPr>
        <w:t>Conclusion</w:t>
      </w:r>
    </w:p>
    <w:p w14:paraId="257DAB2A">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As we navigate the intricate landscape of nonprofit organizations (NPOs), it becomes increasingly evident that marketing is not merely an auxiliary function but a cornerstone of effective organizational strategy. The growing significance of marketing in the study of NPOs reflects a paradigm shift in how these organizations approach their missions and engage with their stakeholders. In an era where competition for resources is fierce, understanding the nuances of marketing has become essential for NPOs striving to make a meaningful impact. Historically, research on NPOs has predominantly centered around social services organizations and their fundraising strategies. This focus has illuminated the critical role that these organizations play in addressing societal needs, yet it has also highlighted a gap in the broader understanding of NPO management and marketing practices. While fundraising remains a vital concern, the complexities of managing an NPO extend far beyond securing financial support. As the nonprofit sector evolves, there is an urgent need for more comprehensive research that encompasses the full spectrum of NPO management, including operational efficiency, stakeholder engagement, and the integration of marketing strategies into organizational frameworks. Within the realm of NPO marketing literature, communication and strategic marketing emerge as pivotal topics. Effective communication strategies are essential for NPOs to articulate their missions, values, and impact in a way that resonates with potential supporters. The art of storytelling, coupled with a clear and compelling message, can forge emotional connections that inspire action and foster loyalty. Furthermore, strategic marketing serves as a guiding compass, enabling NPOs to align their marketing efforts with their overarching goals. By adopting a strategic approach, organizations can optimize their resources, enhance their visibility, and ultimately drive greater engagement from their communities. However, the journey toward a more nuanced understanding of NPOs is far from complete. The call for more research on NPO management and marketing practices is not just a suggestion; it is a necessity. As the nonprofit sector continues to grapple with evolving challenges, including shifts in donor behavior and the impact of technology, researchers must delve deeper into the intricacies of NPO operations. This exploration will not only enrich the academic literature but also provide practical insights that empower NPOs to navigate the complexities of their environments with confidence. Moreover, the importance of interdisciplinary approaches cannot be overstated. By integrating insights from various fields—such as economics, sociology, psychology, and management—researchers can cultivate a more holistic understanding of NPOs. This collaborative lens allows for the identification of innovative solutions to the multifaceted challenges that NPOs face. For instance, economic theories can inform fundraising strategies, while sociological perspectives can enhance stakeholder engagement efforts. Embracing interdisciplinary research fosters a culture of collaboration and creativity, ultimately leading to more effective practices within the nonprofit sector.</w:t>
      </w:r>
    </w:p>
    <w:p w14:paraId="0DAC5976">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In the bustling nonprofit landscape of Toledo, a paradox unfolds: organizations dedicate substantial time and effort to collecting data, yet many find themselves grappling with the challenge of effectively utilizing this wealth of information. This disconnect not only hampers their operational efficiency but also limits their potential to create meaningful change in the communities they serve. As the nonprofit sector navigates an increasingly complex social environment, it is imperative to address the underlying issues that contribute to this inefficiency and to harness the power of data as a transformative tool. At the core of the challenges faced by nonprofits in Toledo lies a pervasive lack of data sharing and limited research skills among staff. Many organizations operate in isolation, collecting valuable insights that remain locked away, unshared, and underutilized. This siloed approach not only stifles collaboration but also perpetuates a cycle of redundancy, where organizations duplicate efforts and miss opportunities for collective impact. Furthermore, the absence of formal research training leaves many staff members ill-prepared to analyze and apply the data they gather, resulting in missed opportunities to inform program development and enhance service delivery. To break free from this cycle of inefficiency, a multifaceted approach is essential. First and foremost, investing in better research methods training for nonprofit staff is crucial. By equipping individuals with the skills to design effective research projects, analyze data, and draw actionable conclusions, organizations can transform their data collection efforts into powerful tools for decision-making. Tailored training programs that address the specific needs of each organization will empower staff to leverage their data effectively, fostering a culture of data-driven decision-making. In addition to training, increased support from funders is vital for addressing capacity issues in research data practices. Funders must recognize the importance of investing in the infrastructure that enables nonprofits to collect and manage data effectively. This includes providing resources for training programs, as well as funding for the development of centralized databases that facilitate data sharing and collaboration among organizations. By fostering an environment of support and investment, funders can empower nonprofits to leverage their data for greater impact. Engaging higher education institutions also presents a unique opportunity to enhance the research capacity of nonprofits. By forming partnerships with local universities, nonprofits can tap into a wealth of knowledge and resources. Students and faculty can assist in data collection, analysis, and the development of research methodologies, while also gaining valuable real-world experience. This collaboration not only strengthens the research capabilities of nonprofits but also fosters a sense of community engagement and shared purpose. Ultimately, improving data management practices is crucial for enhancing grant applications, evaluation practices, and program planning within nonprofits. A well-organized and effectively utilized data management system allows organizations to present compelling evidence of their impact to funders, thereby increasing their chances of securing vital resources. Moreover, robust data practices enable nonprofits to identify trends and assess community needs.</w:t>
      </w:r>
    </w:p>
    <w:p w14:paraId="6C9F48D3">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In the grand narrative of societal progress, non-profit organizations (NPOs) stand as beacons of hope and catalysts for change, playing an indispensable role in enhancing the quality of life across communities. Their essence lies in the collaborative spirit that bridges the gaps between public, private, and non-profit sectors, creating a harmonious synergy that addresses the multifaceted challenges faced by society. This collaboration not only amplifies the impact of individual initiatives but also fosters a collective responsibility towards social welfare, ensuring that no one is left behind. The theoretical framework underpinning the non-profit sector is rich and diverse, drawing from various economic theories, including government and market failures theory. These theories illuminate the critical need for NPOs to step in where traditional systems falter, providing essential services and support to those who are often overlooked. By understanding these theoretical foundations, we gain insight into the strategic importance of non-profit organizations as they navigate the complexities of societal needs and aspirations. A comparative exploration of the American and European non-profit sectors reveals significant operational and contextual differences that shape their significance. In the United States, the emphasis on individual philanthropy and a competitive landscape fosters innovation and responsiveness, while the European model often integrates NPOs within broader social welfare frameworks, reflecting a commitment to collective well-being. This divergence not only highlights the adaptability of NPOs but also underscores the importance of context in shaping their missions and strategies. Research into the financial developments and contributions of non-profit organizations in countries such as the United States, Canada, the United Kingdom, and the Czech Republic further emphasizes their economic significance. NPOs are not merely charitable entities; they are vital economic players that create jobs, stimulate local economies, and enhance community resilience. Their ability to mobilize resources and respond to pressing social issues positions them as key contributors to national economic health, reinforcing the interconnectedness of social and economic prosperity. The existence of various models of the relationship between the state and non-profit sectors—ranging from liberal to social-democratic, corporatist, and statist—illustrates the complexity of these interactions. Each model offers unique insights into how NPOs can thrive within different political and economic landscapes, shaping their approaches to service delivery and community engagement.</w:t>
      </w:r>
    </w:p>
    <w:p w14:paraId="7BE3B8DA">
      <w:pPr>
        <w:ind w:firstLine="720" w:firstLineChars="0"/>
        <w:jc w:val="both"/>
        <w:rPr>
          <w:rFonts w:hint="default" w:ascii="Times New Roman" w:hAnsi="Times New Roman"/>
          <w:sz w:val="24"/>
          <w:szCs w:val="24"/>
          <w:lang w:val="en-US"/>
        </w:rPr>
      </w:pPr>
    </w:p>
    <w:p w14:paraId="1BB4B6FE">
      <w:pPr>
        <w:jc w:val="center"/>
        <w:rPr>
          <w:rStyle w:val="32"/>
          <w:rFonts w:ascii="Times New Roman" w:hAnsi="Times New Roman" w:cs="Times New Roman"/>
          <w:color w:val="auto"/>
          <w:sz w:val="24"/>
          <w:szCs w:val="24"/>
        </w:rPr>
      </w:pPr>
      <w:r>
        <w:rPr>
          <w:rStyle w:val="32"/>
          <w:rFonts w:ascii="Times New Roman" w:hAnsi="Times New Roman" w:cs="Times New Roman"/>
          <w:color w:val="auto"/>
          <w:sz w:val="24"/>
          <w:szCs w:val="24"/>
        </w:rPr>
        <w:t>Reference</w:t>
      </w:r>
    </w:p>
    <w:p w14:paraId="1E50E526">
      <w:pPr>
        <w:numPr>
          <w:ilvl w:val="0"/>
          <w:numId w:val="1"/>
        </w:numPr>
        <w:tabs>
          <w:tab w:val="clear" w:pos="420"/>
        </w:tabs>
        <w:ind w:left="420" w:leftChars="0" w:hanging="420" w:firstLineChars="0"/>
        <w:jc w:val="both"/>
        <w:rPr>
          <w:rStyle w:val="32"/>
          <w:rFonts w:hint="default" w:ascii="Times New Roman" w:hAnsi="Times New Roman" w:cs="Times New Roman"/>
          <w:color w:val="auto"/>
          <w:sz w:val="24"/>
          <w:szCs w:val="24"/>
          <w:lang w:val="en-US"/>
        </w:rPr>
      </w:pPr>
      <w:r>
        <w:rPr>
          <w:rFonts w:hint="default" w:ascii="Times New Roman" w:hAnsi="Times New Roman" w:eastAsia="sans-serif" w:cs="Times New Roman"/>
          <w:i w:val="0"/>
          <w:iCs w:val="0"/>
          <w:caps w:val="0"/>
          <w:color w:val="1F2937"/>
          <w:spacing w:val="-1"/>
          <w:sz w:val="24"/>
          <w:szCs w:val="24"/>
          <w:shd w:val="clear" w:fill="F9FAFB"/>
        </w:rPr>
        <w:t>Guenther, P., Guenther, M., Ringle, C., Zaefarian, G., &amp; Cartwright, S. (2023). Improving PLS-SEM use for business marketing research. Industrial Marketing Management.</w:t>
      </w:r>
    </w:p>
    <w:p w14:paraId="45162BF2">
      <w:pPr>
        <w:numPr>
          <w:ilvl w:val="0"/>
          <w:numId w:val="1"/>
        </w:numPr>
        <w:tabs>
          <w:tab w:val="clear" w:pos="420"/>
        </w:tabs>
        <w:ind w:left="420" w:leftChars="0" w:hanging="420" w:firstLineChars="0"/>
        <w:jc w:val="both"/>
        <w:rPr>
          <w:rStyle w:val="32"/>
          <w:rFonts w:hint="default" w:ascii="Times New Roman" w:hAnsi="Times New Roman" w:cs="Times New Roman"/>
          <w:color w:val="auto"/>
          <w:sz w:val="24"/>
          <w:szCs w:val="24"/>
          <w:lang w:val="en-US"/>
        </w:rPr>
      </w:pPr>
      <w:r>
        <w:rPr>
          <w:rFonts w:hint="default" w:ascii="Times New Roman" w:hAnsi="Times New Roman" w:eastAsia="sans-serif" w:cs="Times New Roman"/>
          <w:i w:val="0"/>
          <w:iCs w:val="0"/>
          <w:caps w:val="0"/>
          <w:color w:val="1F2937"/>
          <w:spacing w:val="-1"/>
          <w:sz w:val="24"/>
          <w:szCs w:val="24"/>
          <w:shd w:val="clear" w:fill="F9FAFB"/>
        </w:rPr>
        <w:t>Rahanra, F., &amp; Sudarbi, M. H. (2023). Dennis R. Young and Elizabeth A. M. Searing: Resilience and the Management of Nonprofit Organizations. VOLUNTAS - International Journal of Voluntary and Nonprofit Organizati</w:t>
      </w:r>
      <w:bookmarkStart w:id="0" w:name="_GoBack"/>
      <w:bookmarkEnd w:id="0"/>
      <w:r>
        <w:rPr>
          <w:rFonts w:hint="default" w:ascii="Times New Roman" w:hAnsi="Times New Roman" w:eastAsia="sans-serif" w:cs="Times New Roman"/>
          <w:i w:val="0"/>
          <w:iCs w:val="0"/>
          <w:caps w:val="0"/>
          <w:color w:val="1F2937"/>
          <w:spacing w:val="-1"/>
          <w:sz w:val="24"/>
          <w:szCs w:val="24"/>
          <w:shd w:val="clear" w:fill="F9FAFB"/>
        </w:rPr>
        <w:t>ons, 1-2.</w:t>
      </w:r>
    </w:p>
    <w:p w14:paraId="69F922AC">
      <w:pPr>
        <w:numPr>
          <w:ilvl w:val="0"/>
          <w:numId w:val="1"/>
        </w:numPr>
        <w:tabs>
          <w:tab w:val="clear" w:pos="420"/>
        </w:tabs>
        <w:ind w:left="420" w:leftChars="0" w:hanging="420" w:firstLineChars="0"/>
        <w:jc w:val="both"/>
        <w:rPr>
          <w:rStyle w:val="32"/>
          <w:rFonts w:hint="default" w:ascii="Times New Roman" w:hAnsi="Times New Roman" w:cs="Times New Roman"/>
          <w:color w:val="auto"/>
          <w:sz w:val="24"/>
          <w:szCs w:val="24"/>
          <w:lang w:val="en-US"/>
        </w:rPr>
      </w:pPr>
      <w:r>
        <w:rPr>
          <w:rFonts w:hint="default" w:ascii="Times New Roman" w:hAnsi="Times New Roman" w:eastAsia="sans-serif" w:cs="Times New Roman"/>
          <w:i w:val="0"/>
          <w:iCs w:val="0"/>
          <w:caps w:val="0"/>
          <w:color w:val="1F2937"/>
          <w:spacing w:val="-1"/>
          <w:sz w:val="24"/>
          <w:szCs w:val="24"/>
          <w:shd w:val="clear" w:fill="F9FAFB"/>
        </w:rPr>
        <w:t>Hair, J. F., Sarstedt, M., Ringle, C., &amp; Mena, J. A. (2012). An assessment of the use of partial least squares structural equation modeling in marketing research. Journal of the Academy of Marketing Science, 40, 414-433.</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53FDFA"/>
    <w:multiLevelType w:val="singleLevel"/>
    <w:tmpl w:val="7C53FDF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9A2"/>
    <w:rsid w:val="00011B33"/>
    <w:rsid w:val="000A79A2"/>
    <w:rsid w:val="003D7F06"/>
    <w:rsid w:val="004C79AA"/>
    <w:rsid w:val="00AF3DC8"/>
    <w:rsid w:val="00B46D63"/>
    <w:rsid w:val="00B94055"/>
    <w:rsid w:val="00CB0468"/>
    <w:rsid w:val="00E666CE"/>
    <w:rsid w:val="00E71879"/>
    <w:rsid w:val="00F91E36"/>
    <w:rsid w:val="00FB38AB"/>
    <w:rsid w:val="3F0B2949"/>
    <w:rsid w:val="4D885A9B"/>
    <w:rsid w:val="61337FF2"/>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360</Words>
  <Characters>2057</Characters>
  <Lines>17</Lines>
  <Paragraphs>4</Paragraphs>
  <TotalTime>192</TotalTime>
  <ScaleCrop>false</ScaleCrop>
  <LinksUpToDate>false</LinksUpToDate>
  <CharactersWithSpaces>2413</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2024-08-09T07:18:00Z</dcterms:created>
  <dc:creator>Arvin Ampongan</dc:creator>
  <cp:lastModifiedBy>alexandra acedo</cp:lastModifiedBy>
  <dcterms:modified xsi:type="dcterms:W3CDTF">2024-08-11T23:28:35Z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35FB4A352A9A4576887A8E6CC7E02BC0_12</vt:lpwstr>
  </property>
</Properties>
</file>