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B0DD" w14:textId="77777777" w:rsidR="00A60CF6" w:rsidRDefault="00A60CF6">
      <w:pPr>
        <w:rPr>
          <w:rFonts w:hint="eastAsia"/>
          <w:bCs/>
          <w:color w:val="000000"/>
        </w:rPr>
      </w:pPr>
    </w:p>
    <w:p w14:paraId="2C27FA2F" w14:textId="77777777" w:rsidR="00A60CF6" w:rsidRDefault="00A60CF6">
      <w:pPr>
        <w:jc w:val="center"/>
        <w:rPr>
          <w:rFonts w:ascii="楷体_GB2312" w:eastAsia="楷体_GB2312" w:hint="eastAsia"/>
          <w:b/>
          <w:sz w:val="44"/>
          <w:szCs w:val="44"/>
        </w:rPr>
      </w:pPr>
      <w:r>
        <w:rPr>
          <w:rFonts w:ascii="楷体_GB2312" w:eastAsia="楷体_GB2312" w:hint="eastAsia"/>
          <w:b/>
          <w:sz w:val="44"/>
          <w:szCs w:val="44"/>
        </w:rPr>
        <w:t>温州大学计算机与人工智能学院</w:t>
      </w:r>
    </w:p>
    <w:p w14:paraId="14B5A622" w14:textId="77777777" w:rsidR="00A60CF6" w:rsidRDefault="00A60CF6">
      <w:pPr>
        <w:jc w:val="center"/>
        <w:rPr>
          <w:rFonts w:hint="eastAsia"/>
        </w:rPr>
      </w:pPr>
      <w:r>
        <w:rPr>
          <w:rFonts w:ascii="楷体_GB2312" w:eastAsia="楷体_GB2312" w:hint="eastAsia"/>
          <w:b/>
          <w:sz w:val="30"/>
          <w:szCs w:val="32"/>
        </w:rPr>
        <w:t xml:space="preserve">     </w:t>
      </w:r>
      <w:r>
        <w:rPr>
          <w:rFonts w:ascii="楷体_GB2312" w:eastAsia="楷体_GB2312" w:hint="eastAsia"/>
          <w:b/>
          <w:sz w:val="30"/>
          <w:szCs w:val="32"/>
          <w:u w:val="single"/>
        </w:rPr>
        <w:t xml:space="preserve">       </w:t>
      </w:r>
      <w:r>
        <w:rPr>
          <w:rFonts w:ascii="楷体_GB2312" w:eastAsia="楷体_GB2312" w:hint="eastAsia"/>
          <w:b/>
          <w:sz w:val="30"/>
          <w:szCs w:val="32"/>
          <w:u w:val="single"/>
        </w:rPr>
        <w:t>网络系统规划与设计</w:t>
      </w:r>
      <w:r>
        <w:rPr>
          <w:rFonts w:ascii="楷体_GB2312" w:eastAsia="楷体_GB2312" w:hint="eastAsia"/>
          <w:b/>
          <w:sz w:val="30"/>
          <w:szCs w:val="32"/>
          <w:u w:val="single"/>
        </w:rPr>
        <w:t xml:space="preserve">          </w:t>
      </w:r>
      <w:r>
        <w:rPr>
          <w:rFonts w:ascii="楷体_GB2312" w:eastAsia="楷体_GB2312" w:hint="eastAsia"/>
          <w:b/>
          <w:sz w:val="30"/>
          <w:szCs w:val="32"/>
        </w:rPr>
        <w:t>实验报告</w:t>
      </w:r>
    </w:p>
    <w:tbl>
      <w:tblPr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1800"/>
        <w:gridCol w:w="1260"/>
        <w:gridCol w:w="1260"/>
        <w:gridCol w:w="1260"/>
        <w:gridCol w:w="2014"/>
      </w:tblGrid>
      <w:tr w:rsidR="00000000" w14:paraId="0CB870C1" w14:textId="77777777">
        <w:trPr>
          <w:jc w:val="center"/>
        </w:trPr>
        <w:tc>
          <w:tcPr>
            <w:tcW w:w="1368" w:type="dxa"/>
            <w:vAlign w:val="top"/>
          </w:tcPr>
          <w:p w14:paraId="17B31DA7" w14:textId="77777777" w:rsidR="00A60CF6" w:rsidRDefault="00A60CF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实验名称：</w:t>
            </w:r>
          </w:p>
        </w:tc>
        <w:tc>
          <w:tcPr>
            <w:tcW w:w="7594" w:type="dxa"/>
            <w:gridSpan w:val="5"/>
            <w:vAlign w:val="top"/>
          </w:tcPr>
          <w:p w14:paraId="4D854517" w14:textId="77777777" w:rsidR="00A60CF6" w:rsidRDefault="00A60CF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实验六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数据中心设备耗能计算</w:t>
            </w:r>
          </w:p>
        </w:tc>
      </w:tr>
      <w:tr w:rsidR="00000000" w14:paraId="6BCD8D6F" w14:textId="77777777">
        <w:trPr>
          <w:jc w:val="center"/>
        </w:trPr>
        <w:tc>
          <w:tcPr>
            <w:tcW w:w="1368" w:type="dxa"/>
            <w:vAlign w:val="top"/>
          </w:tcPr>
          <w:p w14:paraId="1ACA5716" w14:textId="77777777" w:rsidR="00A60CF6" w:rsidRDefault="00A60CF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级：</w:t>
            </w:r>
          </w:p>
        </w:tc>
        <w:tc>
          <w:tcPr>
            <w:tcW w:w="1800" w:type="dxa"/>
            <w:vAlign w:val="top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24网工2</w:t>
            </w:r>
          </w:p>
        </w:tc>
        <w:tc>
          <w:tcPr>
            <w:tcW w:w="1260" w:type="dxa"/>
            <w:vAlign w:val="top"/>
          </w:tcPr>
          <w:p w14:paraId="2399E280" w14:textId="77777777" w:rsidR="00A60CF6" w:rsidRDefault="00A60CF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名：</w:t>
            </w:r>
          </w:p>
        </w:tc>
        <w:tc>
          <w:tcPr>
            <w:tcW w:w="1260" w:type="dxa"/>
            <w:vAlign w:val="top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韩贤煜</w:t>
              <w:br/>
              <w:t>曾坤</w:t>
              <w:br/>
              <w:t>贾杰凡</w:t>
              <w:br/>
              <w:t>周靖杭</w:t>
            </w:r>
          </w:p>
        </w:tc>
        <w:tc>
          <w:tcPr>
            <w:tcW w:w="1260" w:type="dxa"/>
            <w:vAlign w:val="top"/>
          </w:tcPr>
          <w:p w14:paraId="62B92ADF" w14:textId="77777777" w:rsidR="00A60CF6" w:rsidRDefault="00A60CF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号：</w:t>
            </w:r>
          </w:p>
        </w:tc>
        <w:tc>
          <w:tcPr>
            <w:tcW w:w="2014" w:type="dxa"/>
            <w:vAlign w:val="top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24211835201</w:t>
              <w:br/>
              <w:t>24211835205</w:t>
              <w:br/>
              <w:t>24211835214</w:t>
              <w:br/>
              <w:t>24211835223</w:t>
            </w:r>
          </w:p>
        </w:tc>
      </w:tr>
      <w:tr w:rsidR="00000000" w14:paraId="0F1F047A" w14:textId="77777777">
        <w:trPr>
          <w:jc w:val="center"/>
        </w:trPr>
        <w:tc>
          <w:tcPr>
            <w:tcW w:w="1368" w:type="dxa"/>
            <w:vAlign w:val="top"/>
          </w:tcPr>
          <w:p w14:paraId="47B7DA2D" w14:textId="77777777" w:rsidR="00A60CF6" w:rsidRDefault="00A60CF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实验地点：</w:t>
            </w:r>
          </w:p>
        </w:tc>
        <w:tc>
          <w:tcPr>
            <w:tcW w:w="1800" w:type="dxa"/>
            <w:vAlign w:val="top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5B-205</w:t>
            </w:r>
          </w:p>
        </w:tc>
        <w:tc>
          <w:tcPr>
            <w:tcW w:w="1260" w:type="dxa"/>
            <w:vAlign w:val="top"/>
          </w:tcPr>
          <w:p w14:paraId="0E0B02B6" w14:textId="77777777" w:rsidR="00A60CF6" w:rsidRDefault="00A60CF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期：</w:t>
            </w:r>
          </w:p>
        </w:tc>
        <w:tc>
          <w:tcPr>
            <w:tcW w:w="4534" w:type="dxa"/>
            <w:gridSpan w:val="3"/>
            <w:vAlign w:val="top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2026/10/12</w:t>
            </w:r>
          </w:p>
        </w:tc>
      </w:tr>
    </w:tbl>
    <w:p w14:paraId="33FB780A" w14:textId="77777777" w:rsidR="00A60CF6" w:rsidRDefault="00A60CF6">
      <w:pPr>
        <w:jc w:val="center"/>
        <w:rPr>
          <w:rFonts w:hint="eastAsia"/>
        </w:rPr>
      </w:pPr>
    </w:p>
    <w:p w14:paraId="5138E88E" w14:textId="77777777" w:rsidR="00A60CF6" w:rsidRDefault="00A60CF6">
      <w:pPr>
        <w:jc w:val="center"/>
        <w:rPr>
          <w:rFonts w:hint="eastAsia"/>
          <w:b/>
        </w:rPr>
      </w:pPr>
      <w:r>
        <w:rPr>
          <w:b/>
          <w:sz w:val="20"/>
          <w:lang w:val="en-US" w:eastAsia="zh-CN"/>
        </w:rPr>
        <w:pict w14:anchorId="03AA1329">
          <v:line id="直线 2" o:spid="_x0000_s2050" style="position:absolute;left:0;text-align:left;z-index:251657728;mso-wrap-style:square" from="27pt,3.3pt" to="468pt,3.3pt" strokeweight="2.25pt"/>
        </w:pic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4"/>
      </w:tblGrid>
      <w:tr w:rsidR="00000000" w14:paraId="121D4429" w14:textId="77777777">
        <w:trPr>
          <w:trHeight w:val="1260"/>
          <w:jc w:val="center"/>
        </w:trPr>
        <w:tc>
          <w:tcPr>
            <w:tcW w:w="9054" w:type="dxa"/>
          </w:tcPr>
          <w:p w14:paraId="0F3E7006" w14:textId="77777777" w:rsidR="00A60CF6" w:rsidRDefault="00A60CF6">
            <w:pPr>
              <w:snapToGrid w:val="0"/>
              <w:spacing w:before="120" w:after="12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一、实验目的：</w:t>
            </w:r>
          </w:p>
          <w:p w14:paraId="695C40E3" w14:textId="77777777" w:rsidR="00A60CF6" w:rsidRDefault="00A60CF6">
            <w:pPr>
              <w:pStyle w:val="a7"/>
              <w:numPr>
                <w:ilvl w:val="0"/>
                <w:numId w:val="2"/>
              </w:numPr>
              <w:tabs>
                <w:tab w:val="left" w:pos="780"/>
                <w:tab w:val="left" w:pos="840"/>
              </w:tabs>
            </w:pPr>
            <w:r>
              <w:rPr>
                <w:rFonts w:hint="eastAsia"/>
              </w:rPr>
              <w:t>掌握思科能耗计算工具的使用；</w:t>
            </w:r>
          </w:p>
          <w:p w14:paraId="133232D6" w14:textId="77777777" w:rsidR="00A60CF6" w:rsidRDefault="00A60CF6">
            <w:pPr>
              <w:pStyle w:val="a7"/>
              <w:numPr>
                <w:ilvl w:val="0"/>
                <w:numId w:val="2"/>
              </w:numPr>
              <w:tabs>
                <w:tab w:val="left" w:pos="780"/>
                <w:tab w:val="left" w:pos="840"/>
              </w:tabs>
            </w:pPr>
            <w:r>
              <w:rPr>
                <w:rFonts w:hint="eastAsia"/>
              </w:rPr>
              <w:t>掌握数据中心网络设备和服务器设备的计算方法；</w:t>
            </w:r>
          </w:p>
          <w:p w14:paraId="07D50494" w14:textId="77777777" w:rsidR="00A60CF6" w:rsidRDefault="00A60CF6">
            <w:pPr>
              <w:pStyle w:val="a7"/>
              <w:numPr>
                <w:ilvl w:val="0"/>
                <w:numId w:val="2"/>
              </w:numPr>
              <w:tabs>
                <w:tab w:val="left" w:pos="780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理解数据中心能耗的主要构成。</w:t>
            </w:r>
          </w:p>
        </w:tc>
      </w:tr>
      <w:tr w:rsidR="00000000" w14:paraId="557AE794" w14:textId="77777777">
        <w:trPr>
          <w:trHeight w:val="1153"/>
          <w:jc w:val="center"/>
        </w:trPr>
        <w:tc>
          <w:tcPr>
            <w:tcW w:w="9054" w:type="dxa"/>
          </w:tcPr>
          <w:p w14:paraId="07CC9AAF" w14:textId="77777777" w:rsidR="00A60CF6" w:rsidRDefault="00A60CF6">
            <w:pPr>
              <w:snapToGrid w:val="0"/>
              <w:spacing w:before="120" w:after="12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二、实验环境：</w:t>
            </w:r>
          </w:p>
          <w:p w14:paraId="4F56F17B" w14:textId="77777777" w:rsidR="00A60CF6" w:rsidRDefault="00A60CF6">
            <w:pPr>
              <w:snapToGrid w:val="0"/>
              <w:spacing w:before="120" w:after="120"/>
            </w:pPr>
            <w:r>
              <w:rPr>
                <w:rFonts w:hint="eastAsia"/>
                <w:b/>
                <w:bCs/>
                <w:color w:val="0000FF"/>
              </w:rPr>
              <w:t xml:space="preserve"> 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软件；思科在线能耗计算工具</w:t>
            </w:r>
          </w:p>
        </w:tc>
      </w:tr>
      <w:tr w:rsidR="00000000" w14:paraId="6775A78E" w14:textId="77777777">
        <w:trPr>
          <w:trHeight w:val="1260"/>
          <w:jc w:val="center"/>
        </w:trPr>
        <w:tc>
          <w:tcPr>
            <w:tcW w:w="9054" w:type="dxa"/>
          </w:tcPr>
          <w:p w14:paraId="6713082F" w14:textId="77777777" w:rsidR="00A60CF6" w:rsidRDefault="00A60CF6">
            <w:pPr>
              <w:snapToGrid w:val="0"/>
              <w:spacing w:before="120" w:after="12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三、实验内容和要求：</w:t>
            </w:r>
          </w:p>
          <w:p w14:paraId="602DD0BC" w14:textId="77777777" w:rsidR="00A60CF6" w:rsidRDefault="00A60CF6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根据教师指定的数据中心网络设备选型，使用以下工具估算整个数据中心设备的能耗。</w:t>
            </w:r>
          </w:p>
          <w:p w14:paraId="58AD9815" w14:textId="77777777" w:rsidR="00A60CF6" w:rsidRDefault="00A60CF6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工具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tools.cisco.com/cpc</w:t>
            </w:r>
          </w:p>
          <w:p w14:paraId="16B04B07" w14:textId="77777777" w:rsidR="00A60CF6" w:rsidRDefault="00A60CF6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工具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t>ucspowercalc.cisco.com</w:t>
            </w:r>
          </w:p>
          <w:p w14:paraId="043B0684" w14:textId="77777777" w:rsidR="00A60CF6" w:rsidRDefault="00A60CF6">
            <w:pPr>
              <w:rPr>
                <w:rFonts w:hint="eastAsia"/>
              </w:rPr>
            </w:pPr>
          </w:p>
        </w:tc>
      </w:tr>
      <w:tr w:rsidR="00000000" w14:paraId="7A56EC3B" w14:textId="77777777">
        <w:trPr>
          <w:jc w:val="center"/>
        </w:trPr>
        <w:tc>
          <w:tcPr>
            <w:tcW w:w="9054" w:type="dxa"/>
            <w:vAlign w:val="top"/>
          </w:tcPr>
          <w:p w14:paraId="27A9D5DE" w14:textId="77777777" w:rsidR="00A60CF6" w:rsidRDefault="00A60CF6">
            <w:pPr>
              <w:keepNext/>
              <w:snapToGrid w:val="0"/>
              <w:spacing w:before="120" w:after="10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四、实验步骤：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（1）整理设备清单与估算条件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依据实验四的设备选型，统计网络、安全、计算和存储设备共72台，型号及数量见表1。网卡、线卡、硬盘和电源计入所属整机，不重复计数。运行功率采用设定负载下的工具结果、厂商典型值或部件预算；规划功率采用最大值、高负载值及保守预算。全部结果统一为交流输入功率，按每天24小时、全年365天运行计算电量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674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表1 数据中心设备清单</w:t>
                  </w:r>
                </w:p>
                <w:tbl>
                  <w:tblPr>
                    <w:tblW w:type="auto" w:w="0"/>
                    <w:jc w:val="center"/>
                    <w:tblCellSpacing w:w="1" w:type="dxa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835"/>
                    <w:gridCol w:w="4649"/>
                    <w:gridCol w:w="119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000000"/>
                            <w:sz w:val="21"/>
                          </w:rPr>
                          <w:t>设备用途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000000"/>
                            <w:sz w:val="21"/>
                          </w:rPr>
                          <w:t>设备型号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000000"/>
                            <w:sz w:val="21"/>
                          </w:rPr>
                          <w:t>数量（台）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核心交换机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Nexus 9504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接入交换机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Nexus 93180YC-FX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管理交换机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Catalyst C9300-48T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FC存储交换机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MDS 9396T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出口防火墙／VPN汇聚设备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Secure Firewall 3130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2／1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Hadoop／缓存服务器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UCS C240 M6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30／13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数据库／虚拟化服务器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UCS C240 M6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4／6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Named Node服务器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UCS C240 M6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存储服务器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Cisco UCS S3260 M5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83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 w:val="0"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合计</w:t>
                        </w:r>
                      </w:p>
                    </w:tc>
                    <w:tc>
                      <w:tcPr>
                        <w:tcW w:type="dxa" w:w="4649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 w:val="0"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网络13台、安全3台、计算55台、存储1台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 w:val="0"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72</w:t>
                        </w:r>
                      </w:p>
                    </w:tc>
                  </w:tr>
                </w:tbl>
                <w:p>
                  <w:pPr>
                    <w:spacing w:after="0" w:line="40" w:lineRule="exact"/>
                  </w:pP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四未明确服务器的处理器、内存、磁盘及业务负载，因此采用统一配置进行比较。网络设备保留原选型数量；核心交换机的交换网板按选型表取2块，管理交换机配置C9300-NM-8X模块，FC存储交换机按48端口激活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（2）计算C240 M6服务器功率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在Cisco UCS Power Calculator v2.6.2中选择C-Series Rack Servers → Cisco C240 SFF M6，设置220 V交流输入、N+1冗余和40%工作负载。配置2颗Intel Xeon Silver 4314、8条32 GB DDR4-3200 RDIMM、2个1050 W电源、1块12G SAS RAID控制器（4 GB缓存）、4块1.2 TB SAS 10K硬盘及1块VIC 1467。依据VIC适配资料，以1467替代实验四中的1457用于本次估算。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068000" cy="4618556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8000" cy="461855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图1 C240 M6硬件配置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40000" cy="3361805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40000" cy="336180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图2 C240 M6单台功率计算结果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图1为硬件配置，图2给出的单台空闲、40%负载及最大输入功率分别为190.85 W、319.01 W和517.06 W。55台服务器采用同一基准，其中45台按普通配置计算，数据库与虚拟化服务器共10台另计双口16G FC HBA。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40000" cy="6010963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0" cy="601096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图3 UCS项目已计算部分汇总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图3记录了45台与10台C240的分组结果，以及1套S3260机箱。C240工作负载功率为17545.3 W；按单台显示值319.01 W汇总为17545.55 W，差异来自舍入。页面总计17949.1 W包含S3260机箱的空闲值，尚未计入网络设备、FC HBA和存储节点，因此不作为全部设备的最终总功率。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每台增加2 W光模块余量，普通配置的运行与规划功率分别为321.01 W和519.06 W。FC HBA的直流功率预算分别取15 W和25 W，转换效率分别取94%和90%，则带FC HBA的单台功率为319.01＋2＋15÷0.94＝336.97 W，以及517.06＋2＋25÷0.90＝546.84 W。附加功率与效率均为估算假设。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（3）计算S3260 M5存储服务器功率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在Modular Servers中选择Cisco S3260 Storage Server，配置220 V交流输入、N+1冗余、4个1050 W电源和48块12 TB SAS 7.2K硬盘。工具得到机箱及磁盘部分的空闲功率403.78 W、最大功率955.56 W；M5节点未生成完整结果，因此采用“机箱及磁盘工具值＋节点部件预算”估算整机。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716000" cy="6617386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6000" cy="66173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图4 S3260 M5节点配置状态及已保存的机箱功率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图4左侧节点网卡数量仅可选0，未生成节点功率；右侧为已保存的机箱及磁盘结果。因此，以下将两个M5节点单独补算后计入整机。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机箱及磁盘的运行功率按40%负载线性插值：403.78＋（955.56－403.78）×40%＝624.492 W。每个M5节点的部件预算见表2，表中功率均为估算值；处理器规划值参考85 W热设计功耗（TDP）。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674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表2 单个S3260 M5节点的直流功率预算</w:t>
                  </w:r>
                </w:p>
                <w:tbl>
                  <w:tblPr>
                    <w:tblW w:type="auto" w:w="0"/>
                    <w:jc w:val="center"/>
                    <w:tblCellSpacing w:w="1" w:type="dxa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515"/>
                    <w:gridCol w:w="850"/>
                    <w:gridCol w:w="2154"/>
                    <w:gridCol w:w="21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51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000000"/>
                            <w:sz w:val="21"/>
                          </w:rPr>
                          <w:t>部件</w:t>
                        </w:r>
                      </w:p>
                    </w:tc>
                    <w:tc>
                      <w:tcPr>
                        <w:tcW w:type="dxa" w:w="850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000000"/>
                            <w:sz w:val="21"/>
                          </w:rPr>
                          <w:t>数量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000000"/>
                            <w:sz w:val="21"/>
                          </w:rPr>
                          <w:t>单件运行（W）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000000"/>
                            <w:sz w:val="21"/>
                          </w:rPr>
                          <w:t>单件规划（W）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1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Xeon Silver 4214</w:t>
                        </w:r>
                      </w:p>
                    </w:tc>
                    <w:tc>
                      <w:tcPr>
                        <w:tcW w:type="dxa" w:w="850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2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55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85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1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32 GB RDIMM</w:t>
                        </w:r>
                      </w:p>
                    </w:tc>
                    <w:tc>
                      <w:tcPr>
                        <w:tcW w:type="dxa" w:w="850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8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5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1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SAS3316 RAID控制器</w:t>
                        </w:r>
                      </w:p>
                    </w:tc>
                    <w:tc>
                      <w:tcPr>
                        <w:tcW w:type="dxa" w:w="850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15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25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1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500 GB NVMe SSD</w:t>
                        </w:r>
                      </w:p>
                    </w:tc>
                    <w:tc>
                      <w:tcPr>
                        <w:tcW w:type="dxa" w:w="850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5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1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双口40G网卡</w:t>
                        </w:r>
                      </w:p>
                    </w:tc>
                    <w:tc>
                      <w:tcPr>
                        <w:tcW w:type="dxa" w:w="850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28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35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1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主板及其他部件</w:t>
                        </w:r>
                      </w:p>
                    </w:tc>
                    <w:tc>
                      <w:tcPr>
                        <w:tcW w:type="dxa" w:w="850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40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15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 w:val="0"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每节点合计</w:t>
                        </w:r>
                      </w:p>
                    </w:tc>
                    <w:tc>
                      <w:tcPr>
                        <w:tcW w:type="dxa" w:w="850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 w:val="0"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—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 w:val="0"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238</w:t>
                        </w:r>
                      </w:p>
                    </w:tc>
                    <w:tc>
                      <w:tcPr>
                        <w:tcW w:type="dxa" w:w="2154"/>
                        <w:vAlign w:val="center"/>
                        <w:tcBorders>
                          <w:top w:val="single" w:sz="4" w:color="000000"/>
                          <w:left w:val="single" w:sz="4" w:color="000000"/>
                          <w:bottom w:val="single" w:sz="4" w:color="000000"/>
                          <w:right w:val="single" w:sz="4" w:color="000000"/>
                        </w:tcBorders>
                      </w:tcPr>
                      <w:p>
                        <w:pPr>
                          <w:keepNext w:val="0"/>
                          <w:spacing w:before="20" w:after="20" w:line="264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color w:val="000000"/>
                            <w:sz w:val="21"/>
                          </w:rPr>
                          <w:t>362</w:t>
                        </w:r>
                      </w:p>
                    </w:tc>
                  </w:tr>
                </w:tbl>
                <w:p>
                  <w:pPr>
                    <w:spacing w:after="0" w:line="40" w:lineRule="exact"/>
                  </w:pP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两个节点的运行与规划转换效率分别取94%和90%，四个光接口合计预留14 W，则整机运行功率为624.492＋2×238÷0.94＋14＝1144.87 W，规划功率为955.56＋2×362÷0.90＋14＝1774.00 W。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（4）计算核心交换机功率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在Cisco Power Calculator（CPC）中选择Nexus 9500系列和N9K-C9504机箱，配置双N9K-SUP-A+主控、SC-A系统控制器、2块FM-E交换网板，输入电压选择200～240 V。槽位1、2分别配置N9K-X97160YC-EX和N9K-X9736C-FX线卡，其余槽位留空；风扇按3个FAN2估算。计算结果与配置摘要分别见图5、图6。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08000" cy="300436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8000" cy="300436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图5 Nexus 9504功率计算结果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788000" cy="249556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8000" cy="249556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图6 Nexus 9504配置摘要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图5给出的典型与最大输出功率分别为2732 W和4052 W。图6核对机箱、主控、交换网板、输入电压和电源组合；图7进一步列出各组件功率及输入、输出功率换算说明。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36000" cy="3738593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36000" cy="373859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图7 CPC组件功率及输入、输出功率换算说明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按图7说明采用90%转换效率，交流输入功率分别为2732÷0.9＝3035.56 W和4052÷0.9＝4502.22 W；另加32×1＋16×3.5＝88 W接口余量，单台运行与规划功率分别为3123.56 W和4590.22 W。光模块附加项作为保守余量，可能与厂商整机测试中已包含的模块功率部分重叠。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结果页的两只3000 W电源属于Combined模式；按4052 W输出功率校核，满足N+1至少需三只3000 W电源。电源额定容量用于供电能力校核，不能直接作为设备耗电功率。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（5）补充其他网络与安全设备功率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其余设备依据对应型号的Cisco硬件手册或数据表补算，以下均为单台功率。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Nexus 93180YC-FX：手册典型与最大功率为260 W、425 W，增加20×1＋4×3.5＝34 W光模块余量后，运行与规划功率为294 W、459 W。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C9300-48T：按数据表表24的230 V、350W-P电源和NM-8X模块条件，取加权功率100.8 W、全端口满流量功率109.9 W；增加5 W备用电源预算后，得到105.8 W、114.9 W，不计PoE负载。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MDS 9396T：采用硬件手册表3的220 V／50 Hz测试数据。运行场景为48个32G-SW光模块、50%流量和25 ℃，功率497 W；规划场景为96个光模块、100%流量和40 ℃，功率655 W。原设计的主机链路为16G，此处以32G光模块测试条件估算，并在规划列保留端口扩展与温度余量。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Secure Firewall 3130：依据400 W电源规格，假设运行直流负载200 W、转换效率89%，得到224.72 W；规划直流负载400 W、效率85%，得到470.59 W。该结果为假设计算值。两台出口防火墙及一台VPN设备均按持续通电计入。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（6）汇总设备功率与电量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在Excel中按设备数量乘以单台功率计算各项小计，使用SUMIFS按类别汇总，使用SUM求取总功率。总功率由W除以1000换算为kW；日电量等于运行功率乘以24，年电量等于运行功率乘以8760。先汇总未舍入数值，再保留两位小数。逐项结果、关键补算与分类汇总见图8—图11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（7）主要数据依据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[1] Cisco. UCS Power Calculator，v2.6.2：C240 M6与S3260机箱计算结果。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[2] Cisco. Cisco Power Calculator：Nexus 9504计算结果及输入功率换算说明。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[3] Cisco. Nexus 9504 NX-OS Mode Hardware Installation Guide：Overview及Preparing the Site。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[4] Cisco. Nexus 93180YC-FX NX-OS Mode Hardware Installation Guide：System Specifications。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[5] Cisco. Catalyst 9300 Series Switches Data Sheet：表24。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[6] Cisco. MDS 9396T Hardware Installation Guide：Technical Specifications，表3。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[7] Cisco. Secure Firewall 3100 Series Data Sheet：电源规格与效率。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[8] Cisco. UCS VIC 1400 Series Data Sheet：适配机型表。</w:t>
            </w:r>
          </w:p>
          <w:p>
            <w:pPr>
              <w:keepLines/>
              <w:widowControl/>
              <w:spacing w:before="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[9] Cisco. Nexus 9504 NX-OS Mode Hardware Installation Guide：线卡与交换网板带宽配置说明。</w:t>
            </w:r>
          </w:p>
        </w:tc>
      </w:tr>
      <w:tr w:rsidR="00000000" w14:paraId="53ACE649" w14:textId="77777777">
        <w:trPr>
          <w:jc w:val="center"/>
        </w:trPr>
        <w:tc>
          <w:tcPr>
            <w:tcW w:w="9054" w:type="dxa"/>
            <w:vAlign w:val="top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 w14:paraId="73B1985B" w14:textId="77777777" w:rsidR="00A60CF6" w:rsidRDefault="00A60CF6">
                  <w:pPr>
                    <w:keepNext/>
                    <w:spacing w:after="100"/>
                    <w:rPr>
                      <w:rFonts w:ascii="宋体" w:hAnsi="宋体" w:hint="eastAsia"/>
                      <w:b/>
                      <w:color w:val="0000FF"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color w:val="0000FF"/>
                      <w:szCs w:val="21"/>
                    </w:rPr>
                    <w:t>五、实验结果与分析（</w:t>
                  </w:r>
                  <w:r>
                    <w:rPr>
                      <w:rFonts w:ascii="ˎ̥" w:hAnsi="ˎ̥"/>
                      <w:sz w:val="18"/>
                      <w:szCs w:val="18"/>
                    </w:rPr>
                    <w:t>含程序、数据记录及分析和实验总结等</w:t>
                  </w:r>
                  <w:r>
                    <w:rPr>
                      <w:rFonts w:ascii="宋体" w:hAnsi="宋体" w:hint="eastAsia"/>
                      <w:b/>
                      <w:color w:val="0000FF"/>
                      <w:szCs w:val="21"/>
                    </w:rPr>
                    <w:t>）：</w:t>
                  </w:r>
                </w:p>
                <w:p>
                  <w:pPr>
                    <w:keepNext/>
                    <w:keepLines/>
                    <w:widowControl/>
                    <w:spacing w:before="100" w:after="60" w:line="300" w:lineRule="auto"/>
                    <w:jc w:val="left"/>
                  </w:pPr>
                  <w:r>
                    <w:rPr>
                      <w:rFonts w:ascii="宋体" w:hAnsi="宋体" w:eastAsia="宋体"/>
                      <w:b/>
                      <w:color w:val="000000"/>
                      <w:sz w:val="21"/>
                    </w:rPr>
                    <w:t>（1）设备能耗计算结果</w:t>
                  </w: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08000" cy="4767341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设备运行结果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8000" cy="476734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图8（a） 设备用途、型号及运行功率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08000" cy="432997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设备规划与电量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8000" cy="43299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图8（b） 设备规划功率与年电量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图8按同一序号列出12项设备，保留用途、型号、数量及各项计算结果；年电量由运行功率计算，规划功率仅用于容量比较。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keepNext/>
                    <w:keepLines/>
                    <w:widowControl/>
                    <w:spacing w:before="100" w:after="60" w:line="300" w:lineRule="auto"/>
                    <w:jc w:val="left"/>
                  </w:pPr>
                  <w:r>
                    <w:rPr>
                      <w:rFonts w:ascii="宋体" w:hAnsi="宋体" w:eastAsia="宋体"/>
                      <w:b/>
                      <w:color w:val="000000"/>
                      <w:sz w:val="21"/>
                    </w:rPr>
                    <w:t>（2）关键补算结果</w:t>
                  </w: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08000" cy="319005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附加功率与换算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8000" cy="3190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图9 网络、安全及计算设备的功率换算与附加预算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图9除首行Nexus 9504的CPC输出值外，其余均为单台交流输入功率。光模块、备用电源及FC HBA功率采用附加预算，其中HBA的运行、规划转换效率分别取94%和90%；防火墙负载采用假设值。换算依据中的成对数值依次对应运行与规划场景。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08000" cy="2548125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260节点预算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8000" cy="2548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图10（a） S3260 M5单节点部件功率预算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08000" cy="1808218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260整机补算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8000" cy="18082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图10（b） S3260 M5整机输入功率补算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图10中节点部件均为直流功率预算。机箱及磁盘的运行功率由工具空闲值与最大值按40%线性插值得到；两个节点按94%和90%的效率换算为交流输入，再加14 W光模块余量，得到整机运行功率1144.87 W、规划功率1774.00 W。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（3）分类汇总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787"/>
            </w:tblGrid>
            <w:tr>
              <w:trPr>
                <w:cantSplit/>
              </w:trPr>
              <w:tc>
                <w:tcPr>
                  <w:tcW w:type="dxa" w:w="9054"/>
                </w:tcPr>
                <w:p>
                  <w:pPr>
                    <w:spacing w:line="20" w:lineRule="exact"/>
                  </w:pPr>
                </w:p>
                <w:p>
                  <w:pPr>
                    <w:keepNext/>
                    <w:spacing w:line="240" w:lineRule="auto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08000" cy="2564794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8000" cy="25647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widowControl/>
                    <w:spacing w:before="0" w:after="60" w:line="30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color w:val="000000"/>
                      <w:sz w:val="21"/>
                    </w:rPr>
                    <w:t>图11 设备能耗分类汇总</w:t>
                  </w:r>
                </w:p>
              </w:tc>
            </w:tr>
          </w:tbl>
          <w:p/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72台设备的运行功率合计为28.96 kW，规划功率合计为45.60 kW。按全年连续运行8760小时计算，日电量约为694.96 kWh，年电量约为253660.41 kWh。规划列汇集了工具最大值、手册高负载值和部件预算，用于容量比较，不代表同一运行场景下的实测峰值。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（4）结果分析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图11表明，计算服务器的运行功率为17.82 kW，占总量的61.5%，是主要耗能来源；网络设备为9.32 kW，占32.2%；存储和安全设备分别占4.0%和2.3%。图8中，30台Hadoop服务器的运行功率约9.63 kW，年电量约84361.43 kWh，为最大的业务分项，因此服务器资源整合和负载调度是本方案优先考虑的节能方向。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本次仅估算IT设备，不含制冷、UPS、配电及照明能耗；配置、负载与补算参数采用假设，实际部署后应通过PDU或设备遥测校正。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核心交换机按原选型的2块FM-E计算。Cisco硬件资料指出，X97160YC-EX和X9736C-FX达到最大带宽分别需要4块和5块FM-E，原配置的带宽目标仍需核实；若调整交换网板或冗余电源配置，应同步更新功率估算。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（5）实验总结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实验完成了72台设备的功率与电量估算，掌握了CPC和UCS功率计算工具的配置方法，以及利用Excel进行逐项计算和分类汇总的方法。计算时应统一输入、输出功率口径，区分电源额定容量与实际耗电功率，并明确负载、配置和运行时间等条件。结果表明，服务器群是本方案的主要节能对象，可在满足业务性能与可靠性的前提下，通过资源整合、闲置节点管理和负载调度降低能耗。</w:t>
            </w:r>
          </w:p>
        </w:tc>
      </w:tr>
      <w:tr w:rsidR="00000000" w14:paraId="42B2BDE4" w14:textId="77777777">
        <w:trPr>
          <w:jc w:val="center"/>
        </w:trPr>
        <w:tc>
          <w:tcPr>
            <w:tcW w:w="9054" w:type="dxa"/>
            <w:vAlign w:val="top"/>
          </w:tcPr>
          <w:p w14:paraId="2B0B5630" w14:textId="77777777" w:rsidR="00A60CF6" w:rsidRDefault="00A60CF6">
            <w:pPr>
              <w:keepNext/>
              <w:spacing w:after="10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六：思考题：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1. 数据中心设备中，耗能最多的是哪类设备，为什么？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本方案中，计算服务器耗能最多。55台服务器的运行功率约17.82 kW，占设备总功率的61.5%。其原因在于设备数量多，且CPU、内存、磁盘和散热系统持续运行；在全年连续运行条件下，服务器群形成了最大的电量需求。</w:t>
            </w:r>
          </w:p>
          <w:p>
            <w:pPr>
              <w:keepNext/>
              <w:keepLines/>
              <w:widowControl/>
              <w:spacing w:before="100" w:after="6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 服务器设备中，耗能最多的部件是什么？</w:t>
            </w:r>
          </w:p>
          <w:p>
            <w:pPr>
              <w:keepLines/>
              <w:widowControl/>
              <w:spacing w:before="0" w:after="60" w:line="30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一般计算型服务器中，CPU通常是主要耗能部件，其功耗受负载、频率及处理器数量影响。本实验的C240 M6采用两颗Xeon Silver 4314，CPU是重点关注对象；但UCS结果未提供完整部件功耗分解，不能据此确定其准确占比。对配置48块硬盘的S3260存储服务器，磁盘组也可能成为主要耗能部分，因此应结合具体配置和业务负载判断，不能以TDP直接替代实际输入功率。</w:t>
            </w:r>
          </w:p>
        </w:tc>
      </w:tr>
      <w:tr w:rsidR="00000000" w14:paraId="6F794003" w14:textId="77777777">
        <w:trPr>
          <w:jc w:val="center"/>
        </w:trPr>
        <w:tc>
          <w:tcPr>
            <w:tcW w:w="9054" w:type="dxa"/>
            <w:vAlign w:val="top"/>
          </w:tcPr>
          <w:p w14:paraId="5E2BA4D3" w14:textId="77777777" w:rsidR="00A60CF6" w:rsidRDefault="00A60CF6">
            <w:pPr>
              <w:rPr>
                <w:rFonts w:ascii="宋体" w:hAnsi="宋体" w:hint="eastAsia"/>
                <w:b/>
                <w:color w:val="FF00FF"/>
                <w:sz w:val="32"/>
                <w:szCs w:val="21"/>
              </w:rPr>
            </w:pPr>
            <w:r>
              <w:rPr>
                <w:rFonts w:ascii="宋体" w:hAnsi="宋体" w:hint="eastAsia"/>
                <w:b/>
                <w:color w:val="0000FF"/>
                <w:szCs w:val="21"/>
              </w:rPr>
              <w:t>七、教师评语：</w:t>
            </w:r>
          </w:p>
          <w:p w14:paraId="4B5F1A0E" w14:textId="77777777" w:rsidR="00A60CF6" w:rsidRDefault="00A60CF6">
            <w:pPr>
              <w:rPr>
                <w:rFonts w:ascii="宋体" w:hAnsi="宋体" w:hint="eastAsia"/>
                <w:b/>
                <w:color w:val="FF00FF"/>
                <w:sz w:val="32"/>
                <w:szCs w:val="21"/>
              </w:rPr>
            </w:pPr>
          </w:p>
          <w:p w14:paraId="1A77580A" w14:textId="77777777" w:rsidR="00A60CF6" w:rsidRDefault="00A60CF6">
            <w:pPr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实验成绩：</w:t>
            </w:r>
            <w:r>
              <w:rPr>
                <w:rFonts w:hint="eastAsia"/>
                <w:b/>
                <w:bCs/>
                <w:color w:val="0000FF"/>
              </w:rPr>
              <w:t xml:space="preserve">                               </w:t>
            </w:r>
            <w:r>
              <w:rPr>
                <w:rFonts w:hint="eastAsia"/>
                <w:b/>
                <w:bCs/>
                <w:color w:val="0000FF"/>
              </w:rPr>
              <w:t>教师：（</w:t>
            </w:r>
            <w:r>
              <w:rPr>
                <w:rFonts w:ascii="宋体" w:hAnsi="宋体" w:hint="eastAsia"/>
                <w:b/>
                <w:color w:val="0000FF"/>
                <w:szCs w:val="21"/>
              </w:rPr>
              <w:t>签名要全称</w:t>
            </w:r>
            <w:r>
              <w:rPr>
                <w:rFonts w:hint="eastAsia"/>
                <w:b/>
                <w:bCs/>
                <w:color w:val="0000FF"/>
              </w:rPr>
              <w:t>）</w:t>
            </w:r>
            <w:r>
              <w:rPr>
                <w:rFonts w:hint="eastAsia"/>
                <w:b/>
                <w:bCs/>
                <w:color w:val="0000FF"/>
              </w:rPr>
              <w:t xml:space="preserve">       </w:t>
            </w:r>
            <w:r>
              <w:rPr>
                <w:rFonts w:hint="eastAsia"/>
                <w:b/>
                <w:bCs/>
                <w:color w:val="0000FF"/>
              </w:rPr>
              <w:t>年</w:t>
            </w:r>
            <w:r>
              <w:rPr>
                <w:rFonts w:hint="eastAsia"/>
                <w:b/>
                <w:bCs/>
                <w:color w:val="0000FF"/>
              </w:rPr>
              <w:t xml:space="preserve">    </w:t>
            </w:r>
            <w:r>
              <w:rPr>
                <w:rFonts w:hint="eastAsia"/>
                <w:b/>
                <w:bCs/>
                <w:color w:val="0000FF"/>
              </w:rPr>
              <w:t>月</w:t>
            </w:r>
            <w:r>
              <w:rPr>
                <w:rFonts w:hint="eastAsia"/>
                <w:b/>
                <w:bCs/>
                <w:color w:val="0000FF"/>
              </w:rPr>
              <w:t xml:space="preserve">    </w:t>
            </w:r>
            <w:r>
              <w:rPr>
                <w:rFonts w:hint="eastAsia"/>
                <w:b/>
                <w:bCs/>
                <w:color w:val="0000FF"/>
              </w:rPr>
              <w:t>日</w:t>
            </w:r>
          </w:p>
        </w:tc>
      </w:tr>
    </w:tbl>
    <w:p w14:paraId="19999EC4" w14:textId="77777777" w:rsidR="00A60CF6" w:rsidRDefault="00A60CF6">
      <w:pPr>
        <w:rPr>
          <w:rFonts w:hint="eastAsia"/>
          <w:bCs/>
          <w:color w:val="000000"/>
        </w:rPr>
      </w:pPr>
    </w:p>
    <w:p w14:paraId="356C796E" w14:textId="77777777" w:rsidR="00A60CF6" w:rsidRDefault="00A60CF6">
      <w:pPr>
        <w:ind w:left="413" w:hangingChars="196" w:hanging="413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注：</w:t>
      </w:r>
      <w:r>
        <w:rPr>
          <w:rFonts w:hint="eastAsia"/>
          <w:b/>
          <w:bCs/>
          <w:color w:val="FF0000"/>
        </w:rPr>
        <w:t>1</w:t>
      </w:r>
      <w:r>
        <w:rPr>
          <w:rFonts w:hint="eastAsia"/>
          <w:b/>
          <w:bCs/>
          <w:color w:val="FF0000"/>
        </w:rPr>
        <w:t>。此模板为专业实验报告的基本要求，若有特殊要求的实验，可在此模板基础上增加，但不可减少。</w:t>
      </w:r>
    </w:p>
    <w:p w14:paraId="1D7B3B98" w14:textId="77777777" w:rsidR="00A60CF6" w:rsidRDefault="00A60CF6">
      <w:pPr>
        <w:ind w:leftChars="195" w:left="409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２．实验报告必须在学生提交报告后一星期内批改。</w:t>
      </w:r>
    </w:p>
    <w:p w14:paraId="1BA9E666" w14:textId="77777777" w:rsidR="00A60CF6" w:rsidRDefault="00A60CF6">
      <w:pPr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说明：</w:t>
      </w:r>
    </w:p>
    <w:p w14:paraId="5FF8A906" w14:textId="77777777" w:rsidR="00A60CF6" w:rsidRDefault="00A60CF6">
      <w:pPr>
        <w:numPr>
          <w:ilvl w:val="0"/>
          <w:numId w:val="4"/>
        </w:numPr>
        <w:tabs>
          <w:tab w:val="left" w:pos="360"/>
        </w:tabs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上下页边距改成</w:t>
      </w:r>
      <w:r>
        <w:rPr>
          <w:rFonts w:hint="eastAsia"/>
          <w:bCs/>
          <w:color w:val="000000"/>
        </w:rPr>
        <w:t>2</w:t>
      </w:r>
      <w:r>
        <w:rPr>
          <w:rFonts w:hint="eastAsia"/>
          <w:bCs/>
          <w:color w:val="000000"/>
        </w:rPr>
        <w:t>厘米，左边距为</w:t>
      </w:r>
      <w:r>
        <w:rPr>
          <w:rFonts w:hint="eastAsia"/>
          <w:bCs/>
          <w:color w:val="000000"/>
        </w:rPr>
        <w:t>2.0</w:t>
      </w:r>
      <w:r>
        <w:rPr>
          <w:rFonts w:hint="eastAsia"/>
          <w:bCs/>
          <w:color w:val="000000"/>
        </w:rPr>
        <w:t>厘米，右边距为</w:t>
      </w:r>
      <w:r>
        <w:rPr>
          <w:rFonts w:hint="eastAsia"/>
          <w:bCs/>
          <w:color w:val="000000"/>
        </w:rPr>
        <w:t>1.5</w:t>
      </w:r>
      <w:r>
        <w:rPr>
          <w:rFonts w:hint="eastAsia"/>
          <w:bCs/>
          <w:color w:val="000000"/>
        </w:rPr>
        <w:t>厘米。</w:t>
      </w:r>
    </w:p>
    <w:p w14:paraId="61794071" w14:textId="77777777" w:rsidR="00A60CF6" w:rsidRDefault="00A60CF6">
      <w:pPr>
        <w:numPr>
          <w:ilvl w:val="0"/>
          <w:numId w:val="4"/>
        </w:numPr>
        <w:tabs>
          <w:tab w:val="left" w:pos="360"/>
        </w:tabs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表格位置为居中</w:t>
      </w:r>
    </w:p>
    <w:sectPr w:rsidR="00A60CF6">
      <w:pgSz w:w="11906" w:h="16838"/>
      <w:pgMar w:top="1134" w:right="850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5617" w14:textId="77777777" w:rsidR="00A60CF6" w:rsidRDefault="00A60CF6" w:rsidP="00127E9E">
      <w:r>
        <w:separator/>
      </w:r>
    </w:p>
  </w:endnote>
  <w:endnote w:type="continuationSeparator" w:id="0">
    <w:p w14:paraId="3BD7F97C" w14:textId="77777777" w:rsidR="00A60CF6" w:rsidRDefault="00A60CF6" w:rsidP="00127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ˎ̥">
    <w:altName w:val="Noto Serif SC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FC699" w14:textId="77777777" w:rsidR="00A60CF6" w:rsidRDefault="00A60CF6" w:rsidP="00127E9E">
      <w:r>
        <w:separator/>
      </w:r>
    </w:p>
  </w:footnote>
  <w:footnote w:type="continuationSeparator" w:id="0">
    <w:p w14:paraId="0690C641" w14:textId="77777777" w:rsidR="00A60CF6" w:rsidRDefault="00A60CF6" w:rsidP="00127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sz w:val="24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994292415">
    <w:abstractNumId w:val="3"/>
  </w:num>
  <w:num w:numId="2" w16cid:durableId="2034526097">
    <w:abstractNumId w:val="2"/>
  </w:num>
  <w:num w:numId="3" w16cid:durableId="1707414296">
    <w:abstractNumId w:val="1"/>
  </w:num>
  <w:num w:numId="4" w16cid:durableId="96615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F6A24"/>
    <w:rsid w:val="00126CC0"/>
    <w:rsid w:val="00127E9E"/>
    <w:rsid w:val="00147628"/>
    <w:rsid w:val="00253CBC"/>
    <w:rsid w:val="0034310C"/>
    <w:rsid w:val="0047519E"/>
    <w:rsid w:val="0062103A"/>
    <w:rsid w:val="00660789"/>
    <w:rsid w:val="00674902"/>
    <w:rsid w:val="00744F94"/>
    <w:rsid w:val="00785FED"/>
    <w:rsid w:val="00791829"/>
    <w:rsid w:val="00962A8E"/>
    <w:rsid w:val="009F3458"/>
    <w:rsid w:val="00A4108C"/>
    <w:rsid w:val="00A60CF6"/>
    <w:rsid w:val="00B1746B"/>
    <w:rsid w:val="00C86380"/>
    <w:rsid w:val="00E96B3B"/>
    <w:rsid w:val="7F162C95"/>
    <w:rsid w:val="FDFF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2F691837"/>
  <w15:chartTrackingRefBased/>
  <w15:docId w15:val="{0FE6DC29-EDB3-4D3A-A1A6-B2BB9E80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Chars="200" w:firstLine="420"/>
    </w:pPr>
  </w:style>
  <w:style w:type="paragraph" w:styleId="a4">
    <w:name w:val="Body Text"/>
    <w:basedOn w:val="a"/>
    <w:pPr>
      <w:spacing w:after="120"/>
    </w:pPr>
  </w:style>
  <w:style w:type="paragraph" w:styleId="a5">
    <w:name w:val="Body Text First Indent"/>
    <w:basedOn w:val="a4"/>
    <w:pPr>
      <w:ind w:firstLineChars="100" w:firstLine="420"/>
    </w:pPr>
  </w:style>
  <w:style w:type="character" w:styleId="a6">
    <w:name w:val="Hyperlink"/>
    <w:rPr>
      <w:strike w:val="0"/>
      <w:dstrike w:val="0"/>
      <w:color w:val="000000"/>
      <w:u w:val="none"/>
    </w:rPr>
  </w:style>
  <w:style w:type="paragraph" w:customStyle="1" w:styleId="a7">
    <w:name w:val="点"/>
    <w:basedOn w:val="a"/>
    <w:pPr>
      <w:numPr>
        <w:numId w:val="1"/>
      </w:numPr>
      <w:tabs>
        <w:tab w:val="clear" w:pos="840"/>
        <w:tab w:val="left" w:pos="633"/>
      </w:tabs>
      <w:adjustRightInd w:val="0"/>
      <w:snapToGrid w:val="0"/>
      <w:spacing w:line="312" w:lineRule="atLeast"/>
    </w:pPr>
    <w:rPr>
      <w:kern w:val="21"/>
      <w:szCs w:val="20"/>
    </w:rPr>
  </w:style>
  <w:style w:type="paragraph" w:customStyle="1" w:styleId="a8">
    <w:name w:val="内容要点"/>
    <w:basedOn w:val="a5"/>
    <w:pPr>
      <w:adjustRightInd w:val="0"/>
      <w:spacing w:line="312" w:lineRule="atLeast"/>
      <w:ind w:firstLineChars="200" w:firstLine="200"/>
      <w:textAlignment w:val="baseline"/>
    </w:pPr>
    <w:rPr>
      <w:kern w:val="0"/>
    </w:rPr>
  </w:style>
  <w:style w:type="paragraph" w:customStyle="1" w:styleId="a9">
    <w:name w:val="正文说明文字"/>
    <w:basedOn w:val="a3"/>
    <w:pPr>
      <w:tabs>
        <w:tab w:val="left" w:pos="210"/>
      </w:tabs>
      <w:adjustRightInd w:val="0"/>
    </w:pPr>
    <w:rPr>
      <w:bCs/>
      <w:color w:val="000000"/>
      <w:kern w:val="44"/>
      <w:szCs w:val="18"/>
    </w:rPr>
  </w:style>
  <w:style w:type="paragraph" w:styleId="aa">
    <w:name w:val="header"/>
    <w:basedOn w:val="a"/>
    <w:link w:val="ab"/>
    <w:rsid w:val="00127E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127E9E"/>
    <w:rPr>
      <w:kern w:val="2"/>
      <w:sz w:val="18"/>
      <w:szCs w:val="18"/>
    </w:rPr>
  </w:style>
  <w:style w:type="paragraph" w:styleId="ac">
    <w:name w:val="footer"/>
    <w:basedOn w:val="a"/>
    <w:link w:val="ad"/>
    <w:rsid w:val="00127E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127E9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389</Characters>
  <Application>Microsoft Office Word</Application>
  <DocSecurity>4</DocSecurity>
  <PresentationFormat/>
  <Lines>38</Lines>
  <Paragraphs>46</Paragraphs>
  <Slides>0</Slides>
  <Notes>0</Notes>
  <HiddenSlides>0</HiddenSlides>
  <MMClips>0</MMClips>
  <ScaleCrop>false</ScaleCrop>
  <Company>wznc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ĩϽ�</dc:title>
  <dc:subject/>
  <dc:creator>wznc</dc:creator>
  <cp:keywords/>
  <cp:lastModifiedBy>19016575583@163.com</cp:lastModifiedBy>
  <cp:revision>2</cp:revision>
  <dcterms:created xsi:type="dcterms:W3CDTF">2026-10-12T10:38:00Z</dcterms:created>
  <dcterms:modified xsi:type="dcterms:W3CDTF">2026-10-12T10:38:00Z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eyJoZGlkIjoiY2FhMTBkMWMyMDhiMGQ2ODgwMTJiMzE0NDUzYTJkYjEiLCJ1c2VySWQiOiI4MTAxNTcwMTkifQ==</vt:lpwstr>
  </property>
  <property fmtid="{D5CDD505-2E9C-101B-9397-08002B2CF9AE}" pid="4" name="ICV">
    <vt:lpwstr>D0970B612FC54447B91E74A511856196_12</vt:lpwstr>
  </property>
</Properties>
</file>