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Dataset Background: World Bank Africa Development Indicators</w:t>
      </w:r>
    </w:p>
    <w:p/>
    <w:p>
      <w:pPr>
        <w:pStyle w:val="Heading1"/>
        <w:jc w:val="left"/>
      </w:pPr>
      <w:r>
        <w:t>1. Source and Coverage</w:t>
      </w:r>
    </w:p>
    <w:p>
      <w:pPr>
        <w:jc w:val="both"/>
      </w:pPr>
      <w:r>
        <w:t>The dataset is drawn from the World Bank World Development Indicators (WDI), the most widely used global development database. WDI compiles data from officially recognised international sources including the United Nations, World Health Organization (WHO), Food and Agriculture Organization (FAO), International Monetary Fund (IMF), International Labour Organization (ILO), and national statistics offices. It is updated annually and is freely accessible through the World Bank Open Data portal.</w:t>
      </w:r>
    </w:p>
    <w:p/>
    <w:p>
      <w:pPr>
        <w:jc w:val="both"/>
      </w:pPr>
      <w:r>
        <w:t>This extract covers:</w:t>
      </w:r>
    </w:p>
    <w:p>
      <w:pPr>
        <w:pStyle w:val="ListBullet"/>
      </w:pPr>
      <w:r>
        <w:t>48 Sub-Saharan African countries</w:t>
      </w:r>
    </w:p>
    <w:p>
      <w:pPr>
        <w:pStyle w:val="ListBullet"/>
      </w:pPr>
      <w:r>
        <w:t>Years 2000 to 2023 (24 years)</w:t>
      </w:r>
    </w:p>
    <w:p>
      <w:pPr>
        <w:pStyle w:val="ListBullet"/>
      </w:pPr>
      <w:r>
        <w:t>12 numeric development indicators across four domains</w:t>
      </w:r>
    </w:p>
    <w:p>
      <w:pPr>
        <w:pStyle w:val="ListBullet"/>
      </w:pPr>
      <w:r>
        <w:t>1,152 rows total (48 countries × 24 years)</w:t>
      </w:r>
    </w:p>
    <w:p/>
    <w:p>
      <w:pPr>
        <w:pStyle w:val="Heading1"/>
        <w:jc w:val="left"/>
      </w:pPr>
      <w:r>
        <w:t>2. Indicators and Their Sources</w:t>
      </w:r>
    </w:p>
    <w:p>
      <w:pPr>
        <w:jc w:val="both"/>
      </w:pPr>
      <w:r>
        <w:t>The dataset contains 12 numeric indicators spanning four development domains. Each indicator is collected from a specialised sub-source within the WDI framework:</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Domain</w:t>
            </w:r>
          </w:p>
        </w:tc>
        <w:tc>
          <w:tcPr>
            <w:tcW w:type="dxa" w:w="2880"/>
          </w:tcPr>
          <w:p>
            <w:r>
              <w:rPr>
                <w:b/>
              </w:rPr>
              <w:t>Indicator</w:t>
            </w:r>
          </w:p>
        </w:tc>
        <w:tc>
          <w:tcPr>
            <w:tcW w:type="dxa" w:w="2880"/>
          </w:tcPr>
          <w:p>
            <w:r>
              <w:rPr>
                <w:b/>
              </w:rPr>
              <w:t>Sub-source within WDI</w:t>
            </w:r>
          </w:p>
        </w:tc>
      </w:tr>
      <w:tr>
        <w:tc>
          <w:tcPr>
            <w:tcW w:type="dxa" w:w="2880"/>
          </w:tcPr>
          <w:p>
            <w:r>
              <w:t>Economy</w:t>
            </w:r>
          </w:p>
        </w:tc>
        <w:tc>
          <w:tcPr>
            <w:tcW w:type="dxa" w:w="2880"/>
          </w:tcPr>
          <w:p>
            <w:r>
              <w:t>GDP per capita (current USD)</w:t>
            </w:r>
          </w:p>
        </w:tc>
        <w:tc>
          <w:tcPr>
            <w:tcW w:type="dxa" w:w="2880"/>
          </w:tcPr>
          <w:p>
            <w:r>
              <w:t>World Bank national accounts</w:t>
            </w:r>
          </w:p>
        </w:tc>
      </w:tr>
      <w:tr>
        <w:tc>
          <w:tcPr>
            <w:tcW w:type="dxa" w:w="2880"/>
          </w:tcPr>
          <w:p>
            <w:r>
              <w:t>Economy</w:t>
            </w:r>
          </w:p>
        </w:tc>
        <w:tc>
          <w:tcPr>
            <w:tcW w:type="dxa" w:w="2880"/>
          </w:tcPr>
          <w:p>
            <w:r>
              <w:t>Unemployment rate (%)</w:t>
            </w:r>
          </w:p>
        </w:tc>
        <w:tc>
          <w:tcPr>
            <w:tcW w:type="dxa" w:w="2880"/>
          </w:tcPr>
          <w:p>
            <w:r>
              <w:t>ILO modelled estimates</w:t>
            </w:r>
          </w:p>
        </w:tc>
      </w:tr>
      <w:tr>
        <w:tc>
          <w:tcPr>
            <w:tcW w:type="dxa" w:w="2880"/>
          </w:tcPr>
          <w:p>
            <w:r>
              <w:t>Social</w:t>
            </w:r>
          </w:p>
        </w:tc>
        <w:tc>
          <w:tcPr>
            <w:tcW w:type="dxa" w:w="2880"/>
          </w:tcPr>
          <w:p>
            <w:r>
              <w:t>Total population</w:t>
            </w:r>
          </w:p>
        </w:tc>
        <w:tc>
          <w:tcPr>
            <w:tcW w:type="dxa" w:w="2880"/>
          </w:tcPr>
          <w:p>
            <w:r>
              <w:t>UN Population Division</w:t>
            </w:r>
          </w:p>
        </w:tc>
      </w:tr>
      <w:tr>
        <w:tc>
          <w:tcPr>
            <w:tcW w:type="dxa" w:w="2880"/>
          </w:tcPr>
          <w:p>
            <w:r>
              <w:t>Social</w:t>
            </w:r>
          </w:p>
        </w:tc>
        <w:tc>
          <w:tcPr>
            <w:tcW w:type="dxa" w:w="2880"/>
          </w:tcPr>
          <w:p>
            <w:r>
              <w:t>Poverty headcount ratio &lt;$1.90/day (%)</w:t>
            </w:r>
          </w:p>
        </w:tc>
        <w:tc>
          <w:tcPr>
            <w:tcW w:type="dxa" w:w="2880"/>
          </w:tcPr>
          <w:p>
            <w:r>
              <w:t>World Bank PovcalNet</w:t>
            </w:r>
          </w:p>
        </w:tc>
      </w:tr>
      <w:tr>
        <w:tc>
          <w:tcPr>
            <w:tcW w:type="dxa" w:w="2880"/>
          </w:tcPr>
          <w:p>
            <w:r>
              <w:t>Health</w:t>
            </w:r>
          </w:p>
        </w:tc>
        <w:tc>
          <w:tcPr>
            <w:tcW w:type="dxa" w:w="2880"/>
          </w:tcPr>
          <w:p>
            <w:r>
              <w:t>Life expectancy at birth (years)</w:t>
            </w:r>
          </w:p>
        </w:tc>
        <w:tc>
          <w:tcPr>
            <w:tcW w:type="dxa" w:w="2880"/>
          </w:tcPr>
          <w:p>
            <w:r>
              <w:t>UN Population Division</w:t>
            </w:r>
          </w:p>
        </w:tc>
      </w:tr>
      <w:tr>
        <w:tc>
          <w:tcPr>
            <w:tcW w:type="dxa" w:w="2880"/>
          </w:tcPr>
          <w:p>
            <w:r>
              <w:t>Health</w:t>
            </w:r>
          </w:p>
        </w:tc>
        <w:tc>
          <w:tcPr>
            <w:tcW w:type="dxa" w:w="2880"/>
          </w:tcPr>
          <w:p>
            <w:r>
              <w:t>Infant mortality rate (per 1,000)</w:t>
            </w:r>
          </w:p>
        </w:tc>
        <w:tc>
          <w:tcPr>
            <w:tcW w:type="dxa" w:w="2880"/>
          </w:tcPr>
          <w:p>
            <w:r>
              <w:t>UN Inter-agency Group for Child Mortality Estimation</w:t>
            </w:r>
          </w:p>
        </w:tc>
      </w:tr>
      <w:tr>
        <w:tc>
          <w:tcPr>
            <w:tcW w:type="dxa" w:w="2880"/>
          </w:tcPr>
          <w:p>
            <w:r>
              <w:t>Health</w:t>
            </w:r>
          </w:p>
        </w:tc>
        <w:tc>
          <w:tcPr>
            <w:tcW w:type="dxa" w:w="2880"/>
          </w:tcPr>
          <w:p>
            <w:r>
              <w:t>Health expenditure (% of GDP)</w:t>
            </w:r>
          </w:p>
        </w:tc>
        <w:tc>
          <w:tcPr>
            <w:tcW w:type="dxa" w:w="2880"/>
          </w:tcPr>
          <w:p>
            <w:r>
              <w:t>WHO Global Health Expenditure Database</w:t>
            </w:r>
          </w:p>
        </w:tc>
      </w:tr>
      <w:tr>
        <w:tc>
          <w:tcPr>
            <w:tcW w:type="dxa" w:w="2880"/>
          </w:tcPr>
          <w:p>
            <w:r>
              <w:t>Education</w:t>
            </w:r>
          </w:p>
        </w:tc>
        <w:tc>
          <w:tcPr>
            <w:tcW w:type="dxa" w:w="2880"/>
          </w:tcPr>
          <w:p>
            <w:r>
              <w:t>Adult literacy rate (%)</w:t>
            </w:r>
          </w:p>
        </w:tc>
        <w:tc>
          <w:tcPr>
            <w:tcW w:type="dxa" w:w="2880"/>
          </w:tcPr>
          <w:p>
            <w:r>
              <w:t>UNESCO Institute for Statistics</w:t>
            </w:r>
          </w:p>
        </w:tc>
      </w:tr>
      <w:tr>
        <w:tc>
          <w:tcPr>
            <w:tcW w:type="dxa" w:w="2880"/>
          </w:tcPr>
          <w:p>
            <w:r>
              <w:t>Education</w:t>
            </w:r>
          </w:p>
        </w:tc>
        <w:tc>
          <w:tcPr>
            <w:tcW w:type="dxa" w:w="2880"/>
          </w:tcPr>
          <w:p>
            <w:r>
              <w:t>Primary school enrolment (%)</w:t>
            </w:r>
          </w:p>
        </w:tc>
        <w:tc>
          <w:tcPr>
            <w:tcW w:type="dxa" w:w="2880"/>
          </w:tcPr>
          <w:p>
            <w:r>
              <w:t>UNESCO Institute for Statistics</w:t>
            </w:r>
          </w:p>
        </w:tc>
      </w:tr>
      <w:tr>
        <w:tc>
          <w:tcPr>
            <w:tcW w:type="dxa" w:w="2880"/>
          </w:tcPr>
          <w:p>
            <w:r>
              <w:t>Infrastructure</w:t>
            </w:r>
          </w:p>
        </w:tc>
        <w:tc>
          <w:tcPr>
            <w:tcW w:type="dxa" w:w="2880"/>
          </w:tcPr>
          <w:p>
            <w:r>
              <w:t>Access to electricity (%)</w:t>
            </w:r>
          </w:p>
        </w:tc>
        <w:tc>
          <w:tcPr>
            <w:tcW w:type="dxa" w:w="2880"/>
          </w:tcPr>
          <w:p>
            <w:r>
              <w:t>IEA / World Bank Tracking SDG7</w:t>
            </w:r>
          </w:p>
        </w:tc>
      </w:tr>
      <w:tr>
        <w:tc>
          <w:tcPr>
            <w:tcW w:type="dxa" w:w="2880"/>
          </w:tcPr>
          <w:p>
            <w:r>
              <w:t>Infrastructure</w:t>
            </w:r>
          </w:p>
        </w:tc>
        <w:tc>
          <w:tcPr>
            <w:tcW w:type="dxa" w:w="2880"/>
          </w:tcPr>
          <w:p>
            <w:r>
              <w:t>Internet users (%)</w:t>
            </w:r>
          </w:p>
        </w:tc>
        <w:tc>
          <w:tcPr>
            <w:tcW w:type="dxa" w:w="2880"/>
          </w:tcPr>
          <w:p>
            <w:r>
              <w:t>International Telecommunication Union (ITU)</w:t>
            </w:r>
          </w:p>
        </w:tc>
      </w:tr>
      <w:tr>
        <w:tc>
          <w:tcPr>
            <w:tcW w:type="dxa" w:w="2880"/>
          </w:tcPr>
          <w:p>
            <w:r>
              <w:t>Land</w:t>
            </w:r>
          </w:p>
        </w:tc>
        <w:tc>
          <w:tcPr>
            <w:tcW w:type="dxa" w:w="2880"/>
          </w:tcPr>
          <w:p>
            <w:r>
              <w:t>Arable land (% of land area)</w:t>
            </w:r>
          </w:p>
        </w:tc>
        <w:tc>
          <w:tcPr>
            <w:tcW w:type="dxa" w:w="2880"/>
          </w:tcPr>
          <w:p>
            <w:r>
              <w:t>Food and Agriculture Organization (FAO)</w:t>
            </w:r>
          </w:p>
        </w:tc>
      </w:tr>
    </w:tbl>
    <w:p/>
    <w:p>
      <w:pPr>
        <w:pStyle w:val="Heading1"/>
        <w:jc w:val="left"/>
      </w:pPr>
      <w:r>
        <w:t>3. Why This Dataset is Suitable for PCA</w:t>
      </w:r>
    </w:p>
    <w:p>
      <w:pPr>
        <w:jc w:val="both"/>
      </w:pPr>
      <w:r>
        <w:t>Principal Component Analysis (PCA) works best when features share underlying latent dimensions — correlated variables that can be compressed into fewer components without significant information loss. This dataset satisfies those conditions for the following reasons:</w:t>
      </w:r>
    </w:p>
    <w:p/>
    <w:p>
      <w:pPr>
        <w:pStyle w:val="Heading2"/>
        <w:jc w:val="left"/>
      </w:pPr>
      <w:r>
        <w:t>3.1 Strong Inter-variable Correlations</w:t>
      </w:r>
    </w:p>
    <w:p>
      <w:pPr>
        <w:jc w:val="both"/>
      </w:pPr>
      <w:r>
        <w:t>Several indicators exhibit high pairwise correlations, indicating shared latent dimensions:</w:t>
      </w:r>
    </w:p>
    <w:p>
      <w:pPr>
        <w:pStyle w:val="ListBullet"/>
      </w:pPr>
      <w:r>
        <w:t>Life expectancy and Access to electricity: r = 0.63</w:t>
      </w:r>
    </w:p>
    <w:p>
      <w:pPr>
        <w:pStyle w:val="ListBullet"/>
      </w:pPr>
      <w:r>
        <w:t>Life expectancy and Internet users: r = 0.57</w:t>
      </w:r>
    </w:p>
    <w:p>
      <w:pPr>
        <w:pStyle w:val="ListBullet"/>
      </w:pPr>
      <w:r>
        <w:t>GDP per capita and Access to electricity: r = 0.68</w:t>
      </w:r>
    </w:p>
    <w:p>
      <w:pPr>
        <w:pStyle w:val="ListBullet"/>
      </w:pPr>
      <w:r>
        <w:t>Infant mortality and Life expectancy: r = −0.87 (inverse relationship)</w:t>
      </w:r>
    </w:p>
    <w:p>
      <w:pPr>
        <w:pStyle w:val="ListBullet"/>
      </w:pPr>
      <w:r>
        <w:t>Poverty headcount and Access to electricity: r = −0.74</w:t>
      </w:r>
    </w:p>
    <w:p>
      <w:pPr>
        <w:jc w:val="both"/>
      </w:pPr>
      <w:r>
        <w:t>These correlations suggest a dominant first principal component capturing a "development level" axis — countries scoring high on GDP, electricity access, and life expectancy will cluster at one end, while high-poverty, high-infant-mortality countries cluster at the other.</w:t>
      </w:r>
    </w:p>
    <w:p/>
    <w:p>
      <w:pPr>
        <w:pStyle w:val="Heading2"/>
        <w:jc w:val="left"/>
      </w:pPr>
      <w:r>
        <w:t>3.2 Multiple Observations</w:t>
      </w:r>
    </w:p>
    <w:p>
      <w:pPr>
        <w:jc w:val="both"/>
      </w:pPr>
      <w:r>
        <w:t>48 country observations provide a sufficient sample for PCA with 12 features. The general rule of thumb is at least 5 observations per feature; this dataset achieves a 4:1 ratio, which is adequate for a formative analysis. A cross-sectional approach (one year per country) is recommended for the clearest results.</w:t>
      </w:r>
    </w:p>
    <w:p/>
    <w:p>
      <w:pPr>
        <w:pStyle w:val="Heading2"/>
        <w:jc w:val="left"/>
      </w:pPr>
      <w:r>
        <w:t>3.3 Coverage of Diverse Development Dimensions</w:t>
      </w:r>
    </w:p>
    <w:p>
      <w:pPr>
        <w:jc w:val="both"/>
      </w:pPr>
      <w:r>
        <w:t>The four domains — economy, health, education, and infrastructure — are conceptually distinct, yet empirically correlated in African development data. PCA is likely to produce interpretable components, such as a general development component (PC1) and a secondary component separating health outcomes from economic output (PC2).</w:t>
      </w:r>
    </w:p>
    <w:p/>
    <w:p>
      <w:pPr>
        <w:pStyle w:val="Heading1"/>
        <w:jc w:val="left"/>
      </w:pPr>
      <w:r>
        <w:t>4. Known Limitations and Pre-processing Requirements</w:t>
      </w:r>
    </w:p>
    <w:p>
      <w:pPr>
        <w:pStyle w:val="Heading2"/>
        <w:jc w:val="left"/>
      </w:pPr>
      <w:r>
        <w:t>4.1 High Missing Values in Two Indicators</w:t>
      </w:r>
    </w:p>
    <w:p>
      <w:pPr>
        <w:jc w:val="both"/>
      </w:pPr>
      <w:r>
        <w:t>Two indicators have substantial missing data:</w:t>
      </w:r>
    </w:p>
    <w:p>
      <w:pPr>
        <w:pStyle w:val="ListBullet"/>
      </w:pPr>
      <w:r>
        <w:t>Adult literacy rate: 82% missing — collected only in periodic surveys</w:t>
      </w:r>
    </w:p>
    <w:p>
      <w:pPr>
        <w:pStyle w:val="ListBullet"/>
      </w:pPr>
      <w:r>
        <w:t>Poverty headcount &lt;$1.90/day: 85% missing — survey-based, infrequent</w:t>
      </w:r>
    </w:p>
    <w:p>
      <w:pPr>
        <w:jc w:val="both"/>
      </w:pPr>
      <w:r>
        <w:t>These columns should be dropped before running PCA, or analysis should be restricted to country-year combinations where both are available.</w:t>
      </w:r>
    </w:p>
    <w:p/>
    <w:p>
      <w:pPr>
        <w:pStyle w:val="Heading2"/>
        <w:jc w:val="left"/>
      </w:pPr>
      <w:r>
        <w:t>4.2 Extreme Scale Differences</w:t>
      </w:r>
    </w:p>
    <w:p>
      <w:pPr>
        <w:jc w:val="both"/>
      </w:pPr>
      <w:r>
        <w:t>The raw variance of Population (9.4 × 10¹⁴) dwarfs all other features. Without standardisation, Population would dominate all principal components. Z-score standardisation (mean = 0, standard deviation = 1) must be applied to all numeric features before PCA.</w:t>
      </w:r>
    </w:p>
    <w:p/>
    <w:p>
      <w:pPr>
        <w:pStyle w:val="Heading2"/>
        <w:jc w:val="left"/>
      </w:pPr>
      <w:r>
        <w:t>4.3 Mixed Units</w:t>
      </w:r>
    </w:p>
    <w:p>
      <w:pPr>
        <w:jc w:val="both"/>
      </w:pPr>
      <w:r>
        <w:t>Features are measured in incompatible units: USD, years, percentages, and absolute counts. PCA is sensitive to scale, so standardisation is not optional — it is a mathematical requirement.</w:t>
      </w:r>
    </w:p>
    <w:p/>
    <w:p>
      <w:pPr>
        <w:pStyle w:val="Heading2"/>
        <w:jc w:val="left"/>
      </w:pPr>
      <w:r>
        <w:t>4.4 Panel vs Cross-sectional Structure</w:t>
      </w:r>
    </w:p>
    <w:p>
      <w:pPr>
        <w:jc w:val="both"/>
      </w:pPr>
      <w:r>
        <w:t>The dataset contains 48 countries observed over 24 years (panel format). Two analytical approaches are possible:</w:t>
      </w:r>
    </w:p>
    <w:p>
      <w:pPr>
        <w:pStyle w:val="ListBullet"/>
      </w:pPr>
      <w:r>
        <w:t>Cross-sectional (recommended): Select one year — e.g., 2019 — giving 48 rows × 10 features. PCA results answer: "Which countries are developmentally similar?"</w:t>
      </w:r>
    </w:p>
    <w:p>
      <w:pPr>
        <w:pStyle w:val="ListBullet"/>
      </w:pPr>
      <w:r>
        <w:t>Panel: Use all 1,152 rows. PCA mixes cross-country and temporal variation into the same components, making interpretation more complex.</w:t>
      </w:r>
    </w:p>
    <w:p/>
    <w:p>
      <w:pPr>
        <w:pStyle w:val="Heading1"/>
        <w:jc w:val="left"/>
      </w:pPr>
      <w:r>
        <w:t>5. Recommended Pre-processing Steps Before PCA</w:t>
      </w:r>
    </w:p>
    <w:p>
      <w:pPr>
        <w:jc w:val="both"/>
      </w:pPr>
      <w:r>
        <w:t>Based on the structure of the dataset, the following steps are recommended:</w:t>
      </w:r>
    </w:p>
    <w:p>
      <w:pPr>
        <w:pStyle w:val="ListBullet"/>
      </w:pPr>
      <w:r>
        <w:rPr>
          <w:b/>
        </w:rPr>
        <w:t xml:space="preserve">Step 1 — Drop sparse columns: </w:t>
      </w:r>
      <w:r>
        <w:t>Drop Adult_literacy_rate_pct and Poverty_headcount_1.90USD_pct (&gt;80% missing)</w:t>
      </w:r>
    </w:p>
    <w:p>
      <w:pPr>
        <w:pStyle w:val="ListBullet"/>
      </w:pPr>
      <w:r>
        <w:rPr>
          <w:b/>
        </w:rPr>
        <w:t xml:space="preserve">Step 2 — Select one year: </w:t>
      </w:r>
      <w:r>
        <w:t>Filter to a single year (e.g., 2019) to obtain one observation per country</w:t>
      </w:r>
    </w:p>
    <w:p>
      <w:pPr>
        <w:pStyle w:val="ListBullet"/>
      </w:pPr>
      <w:r>
        <w:rPr>
          <w:b/>
        </w:rPr>
        <w:t xml:space="preserve">Step 3 — Handle remaining NaNs: </w:t>
      </w:r>
      <w:r>
        <w:t>Drop any remaining rows with NaN values</w:t>
      </w:r>
    </w:p>
    <w:p>
      <w:pPr>
        <w:pStyle w:val="ListBullet"/>
      </w:pPr>
      <w:r>
        <w:rPr>
          <w:b/>
        </w:rPr>
        <w:t xml:space="preserve">Step 4 — Remove non-numeric columns: </w:t>
      </w:r>
      <w:r>
        <w:t>Drop Year, Country, Country_Code — these are identifiers, not features</w:t>
      </w:r>
    </w:p>
    <w:p>
      <w:pPr>
        <w:pStyle w:val="ListBullet"/>
      </w:pPr>
      <w:r>
        <w:rPr>
          <w:b/>
        </w:rPr>
        <w:t xml:space="preserve">Step 5 — Standardise: </w:t>
      </w:r>
      <w:r>
        <w:t>Apply StandardScaler (z-score) to all 10 remaining numeric features</w:t>
      </w:r>
    </w:p>
    <w:p>
      <w:pPr>
        <w:pStyle w:val="ListBullet"/>
      </w:pPr>
      <w:r>
        <w:rPr>
          <w:b/>
        </w:rPr>
        <w:t xml:space="preserve">Step 6 — Run PCA: </w:t>
      </w:r>
      <w:r>
        <w:t>Run PCA and inspect the explained variance ratio to select number of components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