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4"/>
          <w:szCs w:val="44"/>
        </w:rPr>
        <w:t xml:space="preserve">AI Resume Screening System</w:t>
      </w:r>
    </w:p>
    <w:p>
      <w:pPr>
        <w:spacing w:before="200"/>
        <w:jc w:val="center"/>
      </w:pPr>
      <w:r>
        <w:rPr>
          <w:b/>
          <w:bCs/>
          <w:sz w:val="32"/>
          <w:szCs w:val="32"/>
        </w:rPr>
        <w:t xml:space="preserve">Machine Learning Model Selection and Evaluation Plan</w:t>
      </w:r>
    </w:p>
    <w:p>
      <w:pPr>
        <w:spacing w:before="200"/>
        <w:jc w:val="center"/>
      </w:pPr>
      <w:r>
        <w:rPr>
          <w:i/>
          <w:iCs/>
          <w:color w:val="595959"/>
          <w:sz w:val="24"/>
          <w:szCs w:val="24"/>
        </w:rPr>
        <w:t xml:space="preserve">A Python-Based Resume Screening &amp; Candidate Ranking System</w:t>
      </w:r>
    </w:p>
    <w:p>
      <w:pPr>
        <w:spacing w:before="600"/>
        <w:jc w:val="center"/>
      </w:pPr>
      <w:r>
        <w:rPr>
          <w:color w:val="595959"/>
          <w:sz w:val="22"/>
          <w:szCs w:val="22"/>
        </w:rPr>
        <w:t xml:space="preserve">Week 4 Task</w:t>
      </w:r>
    </w:p>
    <w:p>
      <w:pPr>
        <w:spacing w:before="100"/>
        <w:jc w:val="center"/>
      </w:pPr>
      <w:r>
        <w:rPr>
          <w:color w:val="595959"/>
          <w:sz w:val="22"/>
          <w:szCs w:val="22"/>
        </w:rPr>
        <w:t xml:space="preserve">Virtual Data Science Apprentice – Python Specialist Intern</w:t>
      </w:r>
    </w:p>
    <w:p>
      <w:pPr>
        <w:pageBreakBefore/>
      </w:pPr>
      <w:r>
        <w:br/>
        <w:t xml:space="preserve"/>
      </w:r>
    </w:p>
    <w:p>
      <w:pPr>
        <w:pStyle w:val="Heading1"/>
        <w:spacing w:after="160" w:before="320"/>
      </w:pPr>
      <w:r>
        <w:rPr>
          <w:b/>
          <w:bCs/>
          <w:color w:val="1F4E79"/>
        </w:rPr>
        <w:t xml:space="preserve">1. Introduction</w:t>
      </w:r>
    </w:p>
    <w:p>
      <w:pPr>
        <w:spacing w:after="160" w:line="300"/>
      </w:pPr>
      <w:r>
        <w:t xml:space="preserve">With cleaned data (Week 2) and validated insights from EDA (Week 3), the final stage of the internship defines how the AI Resume Screening System will select, train, and evaluate machine learning models. Two related but distinct tasks are addressed: (1) classifying a resume into a job category, and (2) scoring how well a resume matches a specific job description. This document lays out the candidate models, the criteria for choosing between them, the evaluation metrics, and the validation strategy.</w:t>
      </w:r>
    </w:p>
    <w:p>
      <w:pPr>
        <w:pStyle w:val="Heading1"/>
        <w:spacing w:after="160" w:before="320"/>
      </w:pPr>
      <w:r>
        <w:rPr>
          <w:b/>
          <w:bCs/>
          <w:color w:val="1F4E79"/>
        </w:rPr>
        <w:t xml:space="preserve">2. Problem Framing</w:t>
      </w:r>
    </w:p>
    <w:p>
      <w:pPr>
        <w:pStyle w:val="ListParagraph"/>
        <w:numPr>
          <w:ilvl w:val="0"/>
          <w:numId w:val="2"/>
        </w:numPr>
        <w:spacing w:after="90"/>
      </w:pPr>
      <w:r>
        <w:t xml:space="preserve">Task A — Resume Classification: a supervised multi-class classification problem (resume text → job category), trained on the labeled Kaggle resume dataset.</w:t>
      </w:r>
    </w:p>
    <w:p>
      <w:pPr>
        <w:pStyle w:val="ListParagraph"/>
        <w:numPr>
          <w:ilvl w:val="0"/>
          <w:numId w:val="2"/>
        </w:numPr>
        <w:spacing w:after="90"/>
      </w:pPr>
      <w:r>
        <w:t xml:space="preserve">Task B — Resume-to-Job Matching: an unsupervised/similarity-based scoring problem (resume vs. a specific job description → match score), using TF-IDF cosine similarity as the baseline, with an embedding-based method as a stretch goal.</w:t>
      </w:r>
    </w:p>
    <w:p>
      <w:pPr>
        <w:pStyle w:val="ListParagraph"/>
        <w:numPr>
          <w:ilvl w:val="0"/>
          <w:numId w:val="2"/>
        </w:numPr>
        <w:spacing w:after="90"/>
      </w:pPr>
      <w:r>
        <w:t xml:space="preserve">The two tasks are complementary: classification narrows the pool to the right category, and similarity scoring ranks candidates within that pool against the actual job description.</w:t>
      </w:r>
    </w:p>
    <w:p>
      <w:pPr>
        <w:pStyle w:val="Heading1"/>
        <w:spacing w:after="160" w:before="320"/>
      </w:pPr>
      <w:r>
        <w:rPr>
          <w:b/>
          <w:bCs/>
          <w:color w:val="1F4E79"/>
        </w:rPr>
        <w:t xml:space="preserve">3. Candidate Models for Task A (Classification)</w:t>
      </w:r>
    </w:p>
    <w:p>
      <w:pPr>
        <w:pStyle w:val="Heading2"/>
        <w:spacing w:after="120" w:before="240"/>
      </w:pPr>
      <w:r>
        <w:rPr>
          <w:b/>
          <w:bCs/>
          <w:color w:val="1F4E79"/>
        </w:rPr>
        <w:t xml:space="preserve">3.1 Logistic Regression (baseline)</w:t>
      </w:r>
    </w:p>
    <w:p>
      <w:pPr>
        <w:spacing w:after="160" w:line="300"/>
      </w:pPr>
      <w:r>
        <w:t xml:space="preserve">A linear, highly interpretable model that works well on high-dimensional sparse TF-IDF features. Chosen as the baseline because of its speed, low overfitting risk on a modest dataset, and easily inspected coefficients (which words drive each category).</w:t>
      </w:r>
    </w:p>
    <w:p>
      <w:pPr>
        <w:pStyle w:val="Heading2"/>
        <w:spacing w:after="120" w:before="240"/>
      </w:pPr>
      <w:r>
        <w:rPr>
          <w:b/>
          <w:bCs/>
          <w:color w:val="1F4E79"/>
        </w:rPr>
        <w:t xml:space="preserve">3.2 Multinomial Naive Bayes</w:t>
      </w:r>
    </w:p>
    <w:p>
      <w:pPr>
        <w:spacing w:after="160" w:line="300"/>
      </w:pPr>
      <w:r>
        <w:t xml:space="preserve">A classic, very fast text-classification model that is well-suited to TF-IDF/count features and small-to-medium datasets; used as a second, structurally different baseline.</w:t>
      </w:r>
    </w:p>
    <w:p>
      <w:pPr>
        <w:pStyle w:val="Heading2"/>
        <w:spacing w:after="120" w:before="240"/>
      </w:pPr>
      <w:r>
        <w:rPr>
          <w:b/>
          <w:bCs/>
          <w:color w:val="1F4E79"/>
        </w:rPr>
        <w:t xml:space="preserve">3.3 Random Forest</w:t>
      </w:r>
    </w:p>
    <w:p>
      <w:pPr>
        <w:spacing w:after="160" w:line="300"/>
      </w:pPr>
      <w:r>
        <w:t xml:space="preserve">A non-linear ensemble model capable of capturing feature interactions (e.g., specific skill combinations) that linear models miss; also provides feature-importance rankings useful for interpretation.</w:t>
      </w:r>
    </w:p>
    <w:p>
      <w:pPr>
        <w:pStyle w:val="Heading2"/>
        <w:spacing w:after="120" w:before="240"/>
      </w:pPr>
      <w:r>
        <w:rPr>
          <w:b/>
          <w:bCs/>
          <w:color w:val="1F4E79"/>
        </w:rPr>
        <w:t xml:space="preserve">3.4 Support Vector Machine (Linear Kernel)</w:t>
      </w:r>
    </w:p>
    <w:p>
      <w:pPr>
        <w:spacing w:after="160" w:line="300"/>
      </w:pPr>
      <w:r>
        <w:t xml:space="preserve">SVMs are historically strong performers on sparse, high-dimensional text data and are included as a stronger, still-interpretable alternative to Random Forest.</w:t>
      </w:r>
    </w:p>
    <w:p>
      <w:pPr>
        <w:pStyle w:val="Heading2"/>
        <w:spacing w:after="120" w:before="240"/>
      </w:pPr>
      <w:r>
        <w:rPr>
          <w:b/>
          <w:bCs/>
          <w:color w:val="1F4E79"/>
        </w:rPr>
        <w:t xml:space="preserve">3.5 Selection Criteria</w:t>
      </w:r>
    </w:p>
    <w:p>
      <w:pPr>
        <w:pStyle w:val="ListParagraph"/>
        <w:numPr>
          <w:ilvl w:val="0"/>
          <w:numId w:val="2"/>
        </w:numPr>
        <w:spacing w:after="90"/>
      </w:pPr>
      <w:r>
        <w:t xml:space="preserve">Performance on held-out validation data (primary criterion, see Section 5).</w:t>
      </w:r>
    </w:p>
    <w:p>
      <w:pPr>
        <w:pStyle w:val="ListParagraph"/>
        <w:numPr>
          <w:ilvl w:val="0"/>
          <w:numId w:val="2"/>
        </w:numPr>
        <w:spacing w:after="90"/>
      </w:pPr>
      <w:r>
        <w:t xml:space="preserve">Training time and resource cost, since the dataset and timeline are both modest.</w:t>
      </w:r>
    </w:p>
    <w:p>
      <w:pPr>
        <w:pStyle w:val="ListParagraph"/>
        <w:numPr>
          <w:ilvl w:val="0"/>
          <w:numId w:val="2"/>
        </w:numPr>
        <w:spacing w:after="90"/>
      </w:pPr>
      <w:r>
        <w:t xml:space="preserve">Interpretability: recruiters need to trust and understand why a resume was categorized a certain way, favoring linear/tree-based models over opaque alternatives.</w:t>
      </w:r>
    </w:p>
    <w:p>
      <w:pPr>
        <w:pStyle w:val="ListParagraph"/>
        <w:numPr>
          <w:ilvl w:val="0"/>
          <w:numId w:val="2"/>
        </w:numPr>
        <w:spacing w:after="90"/>
      </w:pPr>
      <w:r>
        <w:t xml:space="preserve">Robustness to class imbalance identified in Week 3's EDA.</w:t>
      </w:r>
    </w:p>
    <w:p>
      <w:pPr>
        <w:pStyle w:val="Heading1"/>
        <w:spacing w:after="160" w:before="320"/>
      </w:pPr>
      <w:r>
        <w:rPr>
          <w:b/>
          <w:bCs/>
          <w:color w:val="1F4E79"/>
        </w:rPr>
        <w:t xml:space="preserve">4. Approach for Task B (Similarity Scoring)</w:t>
      </w:r>
    </w:p>
    <w:p>
      <w:pPr>
        <w:pStyle w:val="ListParagraph"/>
        <w:numPr>
          <w:ilvl w:val="0"/>
          <w:numId w:val="2"/>
        </w:numPr>
        <w:spacing w:after="90"/>
      </w:pPr>
      <w:r>
        <w:t xml:space="preserve">Baseline: TF-IDF vectorize both resume and job description, then compute cosine similarity as the match score — simple, fast, and explainable (top overlapping terms can be shown to the user).</w:t>
      </w:r>
    </w:p>
    <w:p>
      <w:pPr>
        <w:pStyle w:val="ListParagraph"/>
        <w:numPr>
          <w:ilvl w:val="0"/>
          <w:numId w:val="2"/>
        </w:numPr>
        <w:spacing w:after="90"/>
      </w:pPr>
      <w:r>
        <w:t xml:space="preserve">Enhancement: combine the TF-IDF score with the binary skills-overlap ratio from Week 2's engineered features, using a weighted sum, so exact skill matches are rewarded alongside general text similarity.</w:t>
      </w:r>
    </w:p>
    <w:p>
      <w:pPr>
        <w:pStyle w:val="ListParagraph"/>
        <w:numPr>
          <w:ilvl w:val="0"/>
          <w:numId w:val="2"/>
        </w:numPr>
        <w:spacing w:after="90"/>
      </w:pPr>
      <w:r>
        <w:t xml:space="preserve">Stretch goal: represent resume and job description with sentence embeddings (e.g., a pretrained sentence-transformer) and compute cosine similarity in embedding space, to capture semantic matches missed by exact-term overlap (e.g., 'led a team' vs. 'managed engineers').</w:t>
      </w:r>
    </w:p>
    <w:p>
      <w:pPr>
        <w:pStyle w:val="Heading1"/>
        <w:spacing w:after="160" w:before="320"/>
      </w:pPr>
      <w:r>
        <w:rPr>
          <w:b/>
          <w:bCs/>
          <w:color w:val="1F4E79"/>
        </w:rPr>
        <w:t xml:space="preserve">5.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DEBF7" w:val="clear"/>
            <w:tcMar>
              <w:top w:type="dxa" w:w="80"/>
              <w:left w:type="dxa" w:w="120"/>
              <w:bottom w:type="dxa" w:w="80"/>
              <w:right w:type="dxa" w:w="120"/>
            </w:tcMar>
          </w:tcPr>
          <w:p>
            <w:r>
              <w:rPr>
                <w:b/>
                <w:bCs/>
                <w:sz w:val="20"/>
                <w:szCs w:val="20"/>
              </w:rPr>
              <w:t xml:space="preserve">Accuracy</w:t>
            </w:r>
          </w:p>
        </w:tc>
        <w:tc>
          <w:tcPr>
            <w:tcW w:type="dxa" w:w="6200"/>
            <w:tcMar>
              <w:top w:type="dxa" w:w="80"/>
              <w:left w:type="dxa" w:w="120"/>
              <w:bottom w:type="dxa" w:w="80"/>
              <w:right w:type="dxa" w:w="120"/>
            </w:tcMar>
          </w:tcPr>
          <w:p>
            <w:r>
              <w:rPr>
                <w:sz w:val="20"/>
                <w:szCs w:val="20"/>
              </w:rPr>
              <w:t xml:space="preserve">Overall proportion of correctly classified resumes; reported but not relied on alone due to class imbalance</w:t>
            </w:r>
          </w:p>
        </w:tc>
      </w:tr>
      <w:tr>
        <w:tc>
          <w:tcPr>
            <w:tcW w:type="dxa" w:w="2800"/>
            <w:shd w:fill="DDEBF7" w:val="clear"/>
            <w:tcMar>
              <w:top w:type="dxa" w:w="80"/>
              <w:left w:type="dxa" w:w="120"/>
              <w:bottom w:type="dxa" w:w="80"/>
              <w:right w:type="dxa" w:w="120"/>
            </w:tcMar>
          </w:tcPr>
          <w:p>
            <w:r>
              <w:rPr>
                <w:b/>
                <w:bCs/>
                <w:sz w:val="20"/>
                <w:szCs w:val="20"/>
              </w:rPr>
              <w:t xml:space="preserve">Precision</w:t>
            </w:r>
          </w:p>
        </w:tc>
        <w:tc>
          <w:tcPr>
            <w:tcW w:type="dxa" w:w="6200"/>
            <w:tcMar>
              <w:top w:type="dxa" w:w="80"/>
              <w:left w:type="dxa" w:w="120"/>
              <w:bottom w:type="dxa" w:w="80"/>
              <w:right w:type="dxa" w:w="120"/>
            </w:tcMar>
          </w:tcPr>
          <w:p>
            <w:r>
              <w:rPr>
                <w:sz w:val="20"/>
                <w:szCs w:val="20"/>
              </w:rPr>
              <w:t xml:space="preserve">Of resumes predicted as a category, how many truly belong to it — important to avoid mis-routing candidates</w:t>
            </w:r>
          </w:p>
        </w:tc>
      </w:tr>
      <w:tr>
        <w:tc>
          <w:tcPr>
            <w:tcW w:type="dxa" w:w="2800"/>
            <w:shd w:fill="DDEBF7" w:val="clear"/>
            <w:tcMar>
              <w:top w:type="dxa" w:w="80"/>
              <w:left w:type="dxa" w:w="120"/>
              <w:bottom w:type="dxa" w:w="80"/>
              <w:right w:type="dxa" w:w="120"/>
            </w:tcMar>
          </w:tcPr>
          <w:p>
            <w:r>
              <w:rPr>
                <w:b/>
                <w:bCs/>
                <w:sz w:val="20"/>
                <w:szCs w:val="20"/>
              </w:rPr>
              <w:t xml:space="preserve">Recall</w:t>
            </w:r>
          </w:p>
        </w:tc>
        <w:tc>
          <w:tcPr>
            <w:tcW w:type="dxa" w:w="6200"/>
            <w:tcMar>
              <w:top w:type="dxa" w:w="80"/>
              <w:left w:type="dxa" w:w="120"/>
              <w:bottom w:type="dxa" w:w="80"/>
              <w:right w:type="dxa" w:w="120"/>
            </w:tcMar>
          </w:tcPr>
          <w:p>
            <w:r>
              <w:rPr>
                <w:sz w:val="20"/>
                <w:szCs w:val="20"/>
              </w:rPr>
              <w:t xml:space="preserve">Of resumes truly in a category, how many were correctly identified — important so strong candidates aren't missed</w:t>
            </w:r>
          </w:p>
        </w:tc>
      </w:tr>
      <w:tr>
        <w:tc>
          <w:tcPr>
            <w:tcW w:type="dxa" w:w="2800"/>
            <w:shd w:fill="DDEBF7" w:val="clear"/>
            <w:tcMar>
              <w:top w:type="dxa" w:w="80"/>
              <w:left w:type="dxa" w:w="120"/>
              <w:bottom w:type="dxa" w:w="80"/>
              <w:right w:type="dxa" w:w="120"/>
            </w:tcMar>
          </w:tcPr>
          <w:p>
            <w:r>
              <w:rPr>
                <w:b/>
                <w:bCs/>
                <w:sz w:val="20"/>
                <w:szCs w:val="20"/>
              </w:rPr>
              <w:t xml:space="preserve">F1 Score</w:t>
            </w:r>
          </w:p>
        </w:tc>
        <w:tc>
          <w:tcPr>
            <w:tcW w:type="dxa" w:w="6200"/>
            <w:tcMar>
              <w:top w:type="dxa" w:w="80"/>
              <w:left w:type="dxa" w:w="120"/>
              <w:bottom w:type="dxa" w:w="80"/>
              <w:right w:type="dxa" w:w="120"/>
            </w:tcMar>
          </w:tcPr>
          <w:p>
            <w:r>
              <w:rPr>
                <w:sz w:val="20"/>
                <w:szCs w:val="20"/>
              </w:rPr>
              <w:t xml:space="preserve">Harmonic mean of precision and recall; the primary metric given expected class imbalance</w:t>
            </w:r>
          </w:p>
        </w:tc>
      </w:tr>
      <w:tr>
        <w:tc>
          <w:tcPr>
            <w:tcW w:type="dxa" w:w="2800"/>
            <w:shd w:fill="DDEBF7" w:val="clear"/>
            <w:tcMar>
              <w:top w:type="dxa" w:w="80"/>
              <w:left w:type="dxa" w:w="120"/>
              <w:bottom w:type="dxa" w:w="80"/>
              <w:right w:type="dxa" w:w="120"/>
            </w:tcMar>
          </w:tcPr>
          <w:p>
            <w:r>
              <w:rPr>
                <w:b/>
                <w:bCs/>
                <w:sz w:val="20"/>
                <w:szCs w:val="20"/>
              </w:rPr>
              <w:t xml:space="preserve">Macro-averaged F1</w:t>
            </w:r>
          </w:p>
        </w:tc>
        <w:tc>
          <w:tcPr>
            <w:tcW w:type="dxa" w:w="6200"/>
            <w:tcMar>
              <w:top w:type="dxa" w:w="80"/>
              <w:left w:type="dxa" w:w="120"/>
              <w:bottom w:type="dxa" w:w="80"/>
              <w:right w:type="dxa" w:w="120"/>
            </w:tcMar>
          </w:tcPr>
          <w:p>
            <w:r>
              <w:rPr>
                <w:sz w:val="20"/>
                <w:szCs w:val="20"/>
              </w:rPr>
              <w:t xml:space="preserve">Averages F1 across all categories equally, preventing large categories from masking poor performance on small ones</w:t>
            </w:r>
          </w:p>
        </w:tc>
      </w:tr>
      <w:tr>
        <w:tc>
          <w:tcPr>
            <w:tcW w:type="dxa" w:w="2800"/>
            <w:shd w:fill="DDEBF7" w:val="clear"/>
            <w:tcMar>
              <w:top w:type="dxa" w:w="80"/>
              <w:left w:type="dxa" w:w="120"/>
              <w:bottom w:type="dxa" w:w="80"/>
              <w:right w:type="dxa" w:w="120"/>
            </w:tcMar>
          </w:tcPr>
          <w:p>
            <w:r>
              <w:rPr>
                <w:b/>
                <w:bCs/>
                <w:sz w:val="20"/>
                <w:szCs w:val="20"/>
              </w:rPr>
              <w:t xml:space="preserve">Confusion Matrix</w:t>
            </w:r>
          </w:p>
        </w:tc>
        <w:tc>
          <w:tcPr>
            <w:tcW w:type="dxa" w:w="6200"/>
            <w:tcMar>
              <w:top w:type="dxa" w:w="80"/>
              <w:left w:type="dxa" w:w="120"/>
              <w:bottom w:type="dxa" w:w="80"/>
              <w:right w:type="dxa" w:w="120"/>
            </w:tcMar>
          </w:tcPr>
          <w:p>
            <w:r>
              <w:rPr>
                <w:sz w:val="20"/>
                <w:szCs w:val="20"/>
              </w:rPr>
              <w:t xml:space="preserve">Visual breakdown of which categories are most often confused with one another</w:t>
            </w:r>
          </w:p>
        </w:tc>
      </w:tr>
      <w:tr>
        <w:tc>
          <w:tcPr>
            <w:tcW w:type="dxa" w:w="2800"/>
            <w:shd w:fill="DDEBF7" w:val="clear"/>
            <w:tcMar>
              <w:top w:type="dxa" w:w="80"/>
              <w:left w:type="dxa" w:w="120"/>
              <w:bottom w:type="dxa" w:w="80"/>
              <w:right w:type="dxa" w:w="120"/>
            </w:tcMar>
          </w:tcPr>
          <w:p>
            <w:r>
              <w:rPr>
                <w:b/>
                <w:bCs/>
                <w:sz w:val="20"/>
                <w:szCs w:val="20"/>
              </w:rPr>
              <w:t xml:space="preserve">ROC-AUC (one-vs-rest)</w:t>
            </w:r>
          </w:p>
        </w:tc>
        <w:tc>
          <w:tcPr>
            <w:tcW w:type="dxa" w:w="6200"/>
            <w:tcMar>
              <w:top w:type="dxa" w:w="80"/>
              <w:left w:type="dxa" w:w="120"/>
              <w:bottom w:type="dxa" w:w="80"/>
              <w:right w:type="dxa" w:w="120"/>
            </w:tcMar>
          </w:tcPr>
          <w:p>
            <w:r>
              <w:rPr>
                <w:sz w:val="20"/>
                <w:szCs w:val="20"/>
              </w:rPr>
              <w:t xml:space="preserve">Secondary metric for ranking quality per category</w:t>
            </w:r>
          </w:p>
        </w:tc>
      </w:tr>
    </w:tbl>
    <w:p>
      <w:pPr>
        <w:spacing w:after="160" w:line="300"/>
      </w:pPr>
      <w:r>
        <w:t xml:space="preserve">For Task B (similarity scoring), since there is no single ground-truth 'correct' ranking, evaluation relies on qualitative spot-checks (does the top-ranked resume plausibly fit the job description?) plus a simple proxy: for resumes whose true category matches the job description's implied category, the similarity score should on average be higher than for mismatched categories — tested with a Mann-Whitney U test or a simple mean comparison.</w:t>
      </w:r>
    </w:p>
    <w:p>
      <w:pPr>
        <w:pStyle w:val="Heading1"/>
        <w:spacing w:after="160" w:before="320"/>
      </w:pPr>
      <w:r>
        <w:rPr>
          <w:b/>
          <w:bCs/>
          <w:color w:val="1F4E79"/>
        </w:rPr>
        <w:t xml:space="preserve">6. Model Selection &amp; Evaluation Workflow</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320"/>
        <w:gridCol w:w="1600"/>
        <w:gridCol w:w="320"/>
        <w:gridCol w:w="1600"/>
        <w:gridCol w:w="320"/>
        <w:gridCol w:w="1600"/>
        <w:gridCol w:w="320"/>
        <w:gridCol w:w="1600"/>
      </w:tblGrid>
      <w:tr>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Train/Val/Test
Split</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Train
Candidate
Models</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Evaluate &amp;
Compare</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Select Best
Model</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6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Error
Analysis</w:t>
            </w:r>
          </w:p>
        </w:tc>
      </w:tr>
    </w:tbl>
    <w:p>
      <w:pPr>
        <w:spacing w:after="160" w:line="300"/>
      </w:pPr>
      <w:r>
        <w:t xml:space="preserve"/>
      </w:r>
    </w:p>
    <w:p>
      <w:pPr>
        <w:pStyle w:val="ListParagraph"/>
        <w:numPr>
          <w:ilvl w:val="0"/>
          <w:numId w:val="2"/>
        </w:numPr>
        <w:spacing w:after="90"/>
      </w:pPr>
      <w:r>
        <w:t xml:space="preserve">Data is split into training (70%), validation (15%), and test (15%) sets, stratified by job category to preserve class proportions.</w:t>
      </w:r>
    </w:p>
    <w:p>
      <w:pPr>
        <w:pStyle w:val="ListParagraph"/>
        <w:numPr>
          <w:ilvl w:val="0"/>
          <w:numId w:val="2"/>
        </w:numPr>
        <w:spacing w:after="90"/>
      </w:pPr>
      <w:r>
        <w:t xml:space="preserve">All four candidate classifiers are trained on the same training split and compared on the validation set using the metrics in Section 5.</w:t>
      </w:r>
    </w:p>
    <w:p>
      <w:pPr>
        <w:pStyle w:val="ListParagraph"/>
        <w:numPr>
          <w:ilvl w:val="0"/>
          <w:numId w:val="2"/>
        </w:numPr>
        <w:spacing w:after="90"/>
      </w:pPr>
      <w:r>
        <w:t xml:space="preserve">The best-performing model on macro-F1 is selected, then evaluated once on the held-out test set to report an unbiased final performance estimate.</w:t>
      </w:r>
    </w:p>
    <w:p>
      <w:pPr>
        <w:pStyle w:val="ListParagraph"/>
        <w:numPr>
          <w:ilvl w:val="0"/>
          <w:numId w:val="2"/>
        </w:numPr>
        <w:spacing w:after="90"/>
      </w:pPr>
      <w:r>
        <w:t xml:space="preserve">A confusion-matrix-driven error analysis closes the loop, identifying which categories remain hard to distinguish and why.</w:t>
      </w:r>
    </w:p>
    <w:p>
      <w:pPr>
        <w:pStyle w:val="Heading1"/>
        <w:spacing w:after="160" w:before="320"/>
      </w:pPr>
      <w:r>
        <w:rPr>
          <w:b/>
          <w:bCs/>
          <w:color w:val="1F4E79"/>
        </w:rPr>
        <w:t xml:space="preserve">7. Cross-Validation &amp; Testing Strategy</w:t>
      </w:r>
    </w:p>
    <w:p>
      <w:pPr>
        <w:pStyle w:val="ListParagraph"/>
        <w:numPr>
          <w:ilvl w:val="0"/>
          <w:numId w:val="2"/>
        </w:numPr>
        <w:spacing w:after="90"/>
      </w:pPr>
      <w:r>
        <w:t xml:space="preserve">5-fold stratified cross-validation is used during model comparison to reduce variance from any single train/validation split.</w:t>
      </w:r>
    </w:p>
    <w:p>
      <w:pPr>
        <w:pStyle w:val="ListParagraph"/>
        <w:numPr>
          <w:ilvl w:val="0"/>
          <w:numId w:val="2"/>
        </w:numPr>
        <w:spacing w:after="90"/>
      </w:pPr>
      <w:r>
        <w:t xml:space="preserve">Hyperparameters (e.g., regularization strength for Logistic Regression/SVM, tree depth and estimator count for Random Forest) are tuned via grid search or randomized search within the cross-validation loop, not on the test set.</w:t>
      </w:r>
    </w:p>
    <w:p>
      <w:pPr>
        <w:pStyle w:val="ListParagraph"/>
        <w:numPr>
          <w:ilvl w:val="0"/>
          <w:numId w:val="2"/>
        </w:numPr>
        <w:spacing w:after="90"/>
      </w:pPr>
      <w:r>
        <w:t xml:space="preserve">The test set is touched exactly once, after model and hyperparameters are finalized, to avoid optimistic bias.</w:t>
      </w:r>
    </w:p>
    <w:p>
      <w:pPr>
        <w:pStyle w:val="Heading1"/>
        <w:spacing w:after="160" w:before="320"/>
      </w:pPr>
      <w:r>
        <w:rPr>
          <w:b/>
          <w:bCs/>
          <w:color w:val="1F4E79"/>
        </w:rPr>
        <w:t xml:space="preserve">8. Anticipated Challenges &amp; Mitigations</w:t>
      </w:r>
    </w:p>
    <w:p>
      <w:pPr>
        <w:pStyle w:val="ListParagraph"/>
        <w:numPr>
          <w:ilvl w:val="0"/>
          <w:numId w:val="2"/>
        </w:numPr>
        <w:spacing w:after="90"/>
      </w:pPr>
      <w:r>
        <w:t xml:space="preserve">Class imbalance may bias models toward majority categories. Mitigation: class-weighted loss functions and macro-averaged metrics rather than raw accuracy.</w:t>
      </w:r>
    </w:p>
    <w:p>
      <w:pPr>
        <w:pStyle w:val="ListParagraph"/>
        <w:numPr>
          <w:ilvl w:val="0"/>
          <w:numId w:val="2"/>
        </w:numPr>
        <w:spacing w:after="90"/>
      </w:pPr>
      <w:r>
        <w:t xml:space="preserve">A relatively small dataset increases variance in performance estimates. Mitigation: cross-validation rather than a single train/test split for model comparison.</w:t>
      </w:r>
    </w:p>
    <w:p>
      <w:pPr>
        <w:pStyle w:val="ListParagraph"/>
        <w:numPr>
          <w:ilvl w:val="0"/>
          <w:numId w:val="2"/>
        </w:numPr>
        <w:spacing w:after="90"/>
      </w:pPr>
      <w:r>
        <w:t xml:space="preserve">TF-IDF-based similarity can miss semantic matches. Mitigation: the embedding-based stretch goal is scoped as an explicit enhancement, not a dependency, so the core pipeline works without it.</w:t>
      </w:r>
    </w:p>
    <w:p>
      <w:pPr>
        <w:pStyle w:val="Heading1"/>
        <w:spacing w:after="160" w:before="320"/>
      </w:pPr>
      <w:r>
        <w:rPr>
          <w:b/>
          <w:bCs/>
          <w:color w:val="1F4E79"/>
        </w:rPr>
        <w:t xml:space="preserve">9. Practical Applicability</w:t>
      </w:r>
    </w:p>
    <w:p>
      <w:pPr>
        <w:spacing w:after="160" w:line="300"/>
      </w:pPr>
      <w:r>
        <w:t xml:space="preserve">The resulting pipeline mirrors how a real screening assistant would be used: a recruiter uploads a job description, the system classifies and scores the existing resume pool, and returns a ranked shortlist with the specific overlapping skills/terms shown for transparency. Because every scoring step is based on interpretable features (TF-IDF terms, explicit skill overlap), the system's recommendations can be explained and audited rather than treated as an opaque black box — an important property for any tool used in a hiring context.</w:t>
      </w:r>
    </w:p>
    <w:p>
      <w:pPr>
        <w:pStyle w:val="Heading1"/>
        <w:spacing w:after="160" w:before="320"/>
      </w:pPr>
      <w:r>
        <w:rPr>
          <w:b/>
          <w:bCs/>
          <w:color w:val="1F4E79"/>
        </w:rPr>
        <w:t xml:space="preserve">10. Conclusion</w:t>
      </w:r>
    </w:p>
    <w:p>
      <w:pPr>
        <w:spacing w:after="160" w:line="300"/>
      </w:pPr>
      <w:r>
        <w:t xml:space="preserve">This plan selects a small set of interpretable, well-understood classical machine-learning models appropriate for the dataset size and timeline, defines a class-imbalance-aware evaluation strategy centered on macro-F1, and lays out a disciplined train/validation/test and cross-validation process. Together with the Week 1–3 planning, cleaning, and EDA work, this completes the design for the AI Resume Screening 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AI Resume Screening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2026-09-13T14:46:06.562Z</dcterms:created>
  <dcterms:modified xsi:type="dcterms:W3CDTF">2026-09-13T14:46:06.562Z</dcterms:modified>
</cp:coreProperties>
</file>

<file path=docProps/custom.xml><?xml version="1.0" encoding="utf-8"?>
<Properties xmlns="http://schemas.openxmlformats.org/officeDocument/2006/custom-properties" xmlns:vt="http://schemas.openxmlformats.org/officeDocument/2006/docPropsVTypes"/>
</file>