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9"/>
          <w:sz w:val="44"/>
          <w:szCs w:val="44"/>
        </w:rPr>
        <w:t xml:space="preserve">AI Resume Screening System</w:t>
      </w:r>
    </w:p>
    <w:p>
      <w:pPr>
        <w:spacing w:before="200"/>
        <w:jc w:val="center"/>
      </w:pPr>
      <w:r>
        <w:rPr>
          <w:b/>
          <w:bCs/>
          <w:sz w:val="32"/>
          <w:szCs w:val="32"/>
        </w:rPr>
        <w:t xml:space="preserve">Data Cleaning and Transformation Documentation</w:t>
      </w:r>
    </w:p>
    <w:p>
      <w:pPr>
        <w:spacing w:before="200"/>
        <w:jc w:val="center"/>
      </w:pPr>
      <w:r>
        <w:rPr>
          <w:i/>
          <w:iCs/>
          <w:color w:val="595959"/>
          <w:sz w:val="24"/>
          <w:szCs w:val="24"/>
        </w:rPr>
        <w:t xml:space="preserve">A Python-Based Resume Screening &amp; Candidate Ranking System</w:t>
      </w:r>
    </w:p>
    <w:p>
      <w:pPr>
        <w:spacing w:before="600"/>
        <w:jc w:val="center"/>
      </w:pPr>
      <w:r>
        <w:rPr>
          <w:color w:val="595959"/>
          <w:sz w:val="22"/>
          <w:szCs w:val="22"/>
        </w:rPr>
        <w:t xml:space="preserve">Week 2 Task</w:t>
      </w:r>
    </w:p>
    <w:p>
      <w:pPr>
        <w:spacing w:before="100"/>
        <w:jc w:val="center"/>
      </w:pPr>
      <w:r>
        <w:rPr>
          <w:color w:val="595959"/>
          <w:sz w:val="22"/>
          <w:szCs w:val="22"/>
        </w:rPr>
        <w:t xml:space="preserve">Virtual Data Science Apprentice – Python Specialist Intern</w:t>
      </w:r>
    </w:p>
    <w:p>
      <w:pPr>
        <w:pageBreakBefore/>
      </w:pPr>
      <w:r>
        <w:br/>
        <w:t xml:space="preserve"/>
      </w:r>
    </w:p>
    <w:p>
      <w:pPr>
        <w:pStyle w:val="Heading1"/>
        <w:spacing w:after="160" w:before="320"/>
      </w:pPr>
      <w:r>
        <w:rPr>
          <w:b/>
          <w:bCs/>
          <w:color w:val="1F4E79"/>
        </w:rPr>
        <w:t xml:space="preserve">1. Introduction</w:t>
      </w:r>
    </w:p>
    <w:p>
      <w:pPr>
        <w:spacing w:after="160" w:line="300"/>
      </w:pPr>
      <w:r>
        <w:t xml:space="preserve">Raw resume and job-description text is noisy: it contains inconsistent formatting, duplicate entries, missing fields, and free-text that mixes multiple types of information (skills, dates, contact details) in a single block. Before any modeling can happen, this data must be systematically cleaned and transformed into a structured, analysis-ready form. This document details the data-wrangling strategy for the AI Resume Screening System, covering deduplication, missing-value handling, outlier treatment, text normalization, and feature transformation.</w:t>
      </w:r>
    </w:p>
    <w:p>
      <w:pPr>
        <w:pStyle w:val="Heading1"/>
        <w:spacing w:after="160" w:before="320"/>
      </w:pPr>
      <w:r>
        <w:rPr>
          <w:b/>
          <w:bCs/>
          <w:color w:val="1F4E79"/>
        </w:rPr>
        <w:t xml:space="preserve">2. Data Quality Issues Identified</w:t>
      </w:r>
    </w:p>
    <w:p>
      <w:pPr>
        <w:pStyle w:val="ListParagraph"/>
        <w:numPr>
          <w:ilvl w:val="0"/>
          <w:numId w:val="2"/>
        </w:numPr>
        <w:spacing w:after="90"/>
      </w:pPr>
      <w:r>
        <w:t xml:space="preserve">Duplicate resumes: the same resume text can appear more than once under different IDs due to re-submissions.</w:t>
      </w:r>
    </w:p>
    <w:p>
      <w:pPr>
        <w:pStyle w:val="ListParagraph"/>
        <w:numPr>
          <w:ilvl w:val="0"/>
          <w:numId w:val="2"/>
        </w:numPr>
        <w:spacing w:after="90"/>
      </w:pPr>
      <w:r>
        <w:t xml:space="preserve">Missing or empty fields: some rows have an empty resume body, a missing category label, or no listed skills section.</w:t>
      </w:r>
    </w:p>
    <w:p>
      <w:pPr>
        <w:pStyle w:val="ListParagraph"/>
        <w:numPr>
          <w:ilvl w:val="0"/>
          <w:numId w:val="2"/>
        </w:numPr>
        <w:spacing w:after="90"/>
      </w:pPr>
      <w:r>
        <w:t xml:space="preserve">Inconsistent casing and whitespace: mixed uppercase headers, repeated spaces/newlines from PDF extraction.</w:t>
      </w:r>
    </w:p>
    <w:p>
      <w:pPr>
        <w:pStyle w:val="ListParagraph"/>
        <w:numPr>
          <w:ilvl w:val="0"/>
          <w:numId w:val="2"/>
        </w:numPr>
        <w:spacing w:after="90"/>
      </w:pPr>
      <w:r>
        <w:t xml:space="preserve">Boilerplate noise: page headers/footers, bullet glyphs, and encoding artifacts left over from PDF-to-text conversion.</w:t>
      </w:r>
    </w:p>
    <w:p>
      <w:pPr>
        <w:pStyle w:val="ListParagraph"/>
        <w:numPr>
          <w:ilvl w:val="0"/>
          <w:numId w:val="2"/>
        </w:numPr>
        <w:spacing w:after="90"/>
      </w:pPr>
      <w:r>
        <w:t xml:space="preserve">Outlier / malformed rows: resumes that are extremely short (parsing failures) or implausibly long (multiple resumes concatenated).</w:t>
      </w:r>
    </w:p>
    <w:p>
      <w:pPr>
        <w:pStyle w:val="ListParagraph"/>
        <w:numPr>
          <w:ilvl w:val="0"/>
          <w:numId w:val="2"/>
        </w:numPr>
        <w:spacing w:after="90"/>
      </w:pPr>
      <w:r>
        <w:t xml:space="preserve">Non-standard skill naming: synonyms and abbreviations (e.g., 'ML' vs 'Machine Learning', 'Postgres' vs 'PostgreSQL').</w:t>
      </w:r>
    </w:p>
    <w:p>
      <w:pPr>
        <w:pStyle w:val="Heading1"/>
        <w:spacing w:after="160" w:before="320"/>
      </w:pPr>
      <w:r>
        <w:rPr>
          <w:b/>
          <w:bCs/>
          <w:color w:val="1F4E79"/>
        </w:rPr>
        <w:t xml:space="preserve">3. Cleaning Strategy</w:t>
      </w:r>
    </w:p>
    <w:p>
      <w:pPr>
        <w:pStyle w:val="Heading2"/>
        <w:spacing w:after="120" w:before="240"/>
      </w:pPr>
      <w:r>
        <w:rPr>
          <w:b/>
          <w:bCs/>
          <w:color w:val="1F4E79"/>
        </w:rPr>
        <w:t xml:space="preserve">3.1 Deduplication</w:t>
      </w:r>
    </w:p>
    <w:p>
      <w:pPr>
        <w:pStyle w:val="ListParagraph"/>
        <w:numPr>
          <w:ilvl w:val="0"/>
          <w:numId w:val="2"/>
        </w:numPr>
        <w:spacing w:after="90"/>
      </w:pPr>
      <w:r>
        <w:t xml:space="preserve">Normalize text (lowercase, strip whitespace) and drop exact duplicate resume bodies using pandas.DataFrame.drop_duplicates().</w:t>
      </w:r>
    </w:p>
    <w:p>
      <w:pPr>
        <w:pStyle w:val="ListParagraph"/>
        <w:numPr>
          <w:ilvl w:val="0"/>
          <w:numId w:val="2"/>
        </w:numPr>
        <w:spacing w:after="90"/>
      </w:pPr>
      <w:r>
        <w:t xml:space="preserve">Apply near-duplicate detection with text-hashing or high cosine similarity (&gt;0.98) on TF-IDF vectors to catch reformatted repeats.</w:t>
      </w:r>
    </w:p>
    <w:p>
      <w:pPr>
        <w:pStyle w:val="Heading2"/>
        <w:spacing w:after="120" w:before="240"/>
      </w:pPr>
      <w:r>
        <w:rPr>
          <w:b/>
          <w:bCs/>
          <w:color w:val="1F4E79"/>
        </w:rPr>
        <w:t xml:space="preserve">3.2 Missing Values</w:t>
      </w:r>
    </w:p>
    <w:p>
      <w:pPr>
        <w:pStyle w:val="ListParagraph"/>
        <w:numPr>
          <w:ilvl w:val="0"/>
          <w:numId w:val="2"/>
        </w:numPr>
        <w:spacing w:after="90"/>
      </w:pPr>
      <w:r>
        <w:t xml:space="preserve">Drop rows with an empty resume body or missing category label, since these cannot be used for supervised learning.</w:t>
      </w:r>
    </w:p>
    <w:p>
      <w:pPr>
        <w:pStyle w:val="ListParagraph"/>
        <w:numPr>
          <w:ilvl w:val="0"/>
          <w:numId w:val="2"/>
        </w:numPr>
        <w:spacing w:after="90"/>
      </w:pPr>
      <w:r>
        <w:t xml:space="preserve">For optional structured fields (e.g., years of experience not explicitly stated), impute using a rule-based extraction pass first, and only fall back to a placeholder category ('Not specified') if extraction fails.</w:t>
      </w:r>
    </w:p>
    <w:p>
      <w:pPr>
        <w:pStyle w:val="ListParagraph"/>
        <w:numPr>
          <w:ilvl w:val="0"/>
          <w:numId w:val="2"/>
        </w:numPr>
        <w:spacing w:after="90"/>
      </w:pPr>
      <w:r>
        <w:t xml:space="preserve">Log the count and percentage of rows affected at each imputation step to keep the process auditable.</w:t>
      </w:r>
    </w:p>
    <w:p>
      <w:pPr>
        <w:pStyle w:val="Heading2"/>
        <w:spacing w:after="120" w:before="240"/>
      </w:pPr>
      <w:r>
        <w:rPr>
          <w:b/>
          <w:bCs/>
          <w:color w:val="1F4E79"/>
        </w:rPr>
        <w:t xml:space="preserve">3.3 Outlier Handling</w:t>
      </w:r>
    </w:p>
    <w:p>
      <w:pPr>
        <w:pStyle w:val="ListParagraph"/>
        <w:numPr>
          <w:ilvl w:val="0"/>
          <w:numId w:val="2"/>
        </w:numPr>
        <w:spacing w:after="90"/>
      </w:pPr>
      <w:r>
        <w:t xml:space="preserve">Flag resumes below a minimum token-length threshold (e.g., fewer than 30 tokens) as likely parsing failures and review them separately.</w:t>
      </w:r>
    </w:p>
    <w:p>
      <w:pPr>
        <w:pStyle w:val="ListParagraph"/>
        <w:numPr>
          <w:ilvl w:val="0"/>
          <w:numId w:val="2"/>
        </w:numPr>
        <w:spacing w:after="90"/>
      </w:pPr>
      <w:r>
        <w:t xml:space="preserve">Flag resumes far above the 99th percentile of token length as likely concatenated documents; split or exclude as appropriate.</w:t>
      </w:r>
    </w:p>
    <w:p>
      <w:pPr>
        <w:pStyle w:val="ListParagraph"/>
        <w:numPr>
          <w:ilvl w:val="0"/>
          <w:numId w:val="2"/>
        </w:numPr>
        <w:spacing w:after="90"/>
      </w:pPr>
      <w:r>
        <w:t xml:space="preserve">Use interquartile range (IQR) analysis on token-length and reported years-of-experience fields to identify statistical outliers.</w:t>
      </w:r>
    </w:p>
    <w:p>
      <w:pPr>
        <w:pStyle w:val="Heading2"/>
        <w:spacing w:after="120" w:before="240"/>
      </w:pPr>
      <w:r>
        <w:rPr>
          <w:b/>
          <w:bCs/>
          <w:color w:val="1F4E79"/>
        </w:rPr>
        <w:t xml:space="preserve">3.4 Text Normalization</w:t>
      </w:r>
    </w:p>
    <w:p>
      <w:pPr>
        <w:pStyle w:val="ListParagraph"/>
        <w:numPr>
          <w:ilvl w:val="0"/>
          <w:numId w:val="2"/>
        </w:numPr>
        <w:spacing w:after="90"/>
      </w:pPr>
      <w:r>
        <w:t xml:space="preserve">Lowercase all text, strip HTML/PDF artifacts and non-printable characters using regular expressions.</w:t>
      </w:r>
    </w:p>
    <w:p>
      <w:pPr>
        <w:pStyle w:val="ListParagraph"/>
        <w:numPr>
          <w:ilvl w:val="0"/>
          <w:numId w:val="2"/>
        </w:numPr>
        <w:spacing w:after="90"/>
      </w:pPr>
      <w:r>
        <w:t xml:space="preserve">Remove stop words and punctuation for the TF-IDF pipeline, while preserving a separate raw-text copy for entity extraction.</w:t>
      </w:r>
    </w:p>
    <w:p>
      <w:pPr>
        <w:pStyle w:val="ListParagraph"/>
        <w:numPr>
          <w:ilvl w:val="0"/>
          <w:numId w:val="2"/>
        </w:numPr>
        <w:spacing w:after="90"/>
      </w:pPr>
      <w:r>
        <w:t xml:space="preserve">Apply lemmatization (nltk WordNetLemmatizer or spaCy) so that 'developing', 'developed', and 'develop' map to a common form.</w:t>
      </w:r>
    </w:p>
    <w:p>
      <w:pPr>
        <w:pStyle w:val="Heading2"/>
        <w:spacing w:after="120" w:before="240"/>
      </w:pPr>
      <w:r>
        <w:rPr>
          <w:b/>
          <w:bCs/>
          <w:color w:val="1F4E79"/>
        </w:rPr>
        <w:t xml:space="preserve">3.5 Skill Normalization</w:t>
      </w:r>
    </w:p>
    <w:p>
      <w:pPr>
        <w:pStyle w:val="ListParagraph"/>
        <w:numPr>
          <w:ilvl w:val="0"/>
          <w:numId w:val="2"/>
        </w:numPr>
        <w:spacing w:after="90"/>
      </w:pPr>
      <w:r>
        <w:t xml:space="preserve">Build a synonym dictionary (e.g., {'js': 'javascript', 'postgres': 'postgresql'}) and apply it during entity extraction.</w:t>
      </w:r>
    </w:p>
    <w:p>
      <w:pPr>
        <w:pStyle w:val="ListParagraph"/>
        <w:numPr>
          <w:ilvl w:val="0"/>
          <w:numId w:val="2"/>
        </w:numPr>
        <w:spacing w:after="90"/>
      </w:pPr>
      <w:r>
        <w:t xml:space="preserve">Match extracted tokens against a curated master skills list to reduce free-text noise to a controlled vocabulary.</w:t>
      </w:r>
    </w:p>
    <w:p>
      <w:pPr>
        <w:pStyle w:val="Heading1"/>
        <w:spacing w:after="160" w:before="320"/>
      </w:pPr>
      <w:r>
        <w:rPr>
          <w:b/>
          <w:bCs/>
          <w:color w:val="1F4E79"/>
        </w:rPr>
        <w:t xml:space="preserve">4. Python Libraries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DEBF7" w:val="clear"/>
            <w:tcMar>
              <w:top w:type="dxa" w:w="80"/>
              <w:left w:type="dxa" w:w="120"/>
              <w:bottom w:type="dxa" w:w="80"/>
              <w:right w:type="dxa" w:w="120"/>
            </w:tcMar>
          </w:tcPr>
          <w:p>
            <w:r>
              <w:rPr>
                <w:b/>
                <w:bCs/>
                <w:sz w:val="20"/>
                <w:szCs w:val="20"/>
              </w:rPr>
              <w:t xml:space="preserve">pandas</w:t>
            </w:r>
          </w:p>
        </w:tc>
        <w:tc>
          <w:tcPr>
            <w:tcW w:type="dxa" w:w="6200"/>
            <w:tcMar>
              <w:top w:type="dxa" w:w="80"/>
              <w:left w:type="dxa" w:w="120"/>
              <w:bottom w:type="dxa" w:w="80"/>
              <w:right w:type="dxa" w:w="120"/>
            </w:tcMar>
          </w:tcPr>
          <w:p>
            <w:r>
              <w:rPr>
                <w:sz w:val="20"/>
                <w:szCs w:val="20"/>
              </w:rPr>
              <w:t xml:space="preserve">Loading, deduplication, missing-value handling, aggregation</w:t>
            </w:r>
          </w:p>
        </w:tc>
      </w:tr>
      <w:tr>
        <w:tc>
          <w:tcPr>
            <w:tcW w:type="dxa" w:w="2800"/>
            <w:shd w:fill="DDEBF7" w:val="clear"/>
            <w:tcMar>
              <w:top w:type="dxa" w:w="80"/>
              <w:left w:type="dxa" w:w="120"/>
              <w:bottom w:type="dxa" w:w="80"/>
              <w:right w:type="dxa" w:w="120"/>
            </w:tcMar>
          </w:tcPr>
          <w:p>
            <w:r>
              <w:rPr>
                <w:b/>
                <w:bCs/>
                <w:sz w:val="20"/>
                <w:szCs w:val="20"/>
              </w:rPr>
              <w:t xml:space="preserve">numpy</w:t>
            </w:r>
          </w:p>
        </w:tc>
        <w:tc>
          <w:tcPr>
            <w:tcW w:type="dxa" w:w="6200"/>
            <w:tcMar>
              <w:top w:type="dxa" w:w="80"/>
              <w:left w:type="dxa" w:w="120"/>
              <w:bottom w:type="dxa" w:w="80"/>
              <w:right w:type="dxa" w:w="120"/>
            </w:tcMar>
          </w:tcPr>
          <w:p>
            <w:r>
              <w:rPr>
                <w:sz w:val="20"/>
                <w:szCs w:val="20"/>
              </w:rPr>
              <w:t xml:space="preserve">Numeric operations, IQR/outlier calculations</w:t>
            </w:r>
          </w:p>
        </w:tc>
      </w:tr>
      <w:tr>
        <w:tc>
          <w:tcPr>
            <w:tcW w:type="dxa" w:w="2800"/>
            <w:shd w:fill="DDEBF7" w:val="clear"/>
            <w:tcMar>
              <w:top w:type="dxa" w:w="80"/>
              <w:left w:type="dxa" w:w="120"/>
              <w:bottom w:type="dxa" w:w="80"/>
              <w:right w:type="dxa" w:w="120"/>
            </w:tcMar>
          </w:tcPr>
          <w:p>
            <w:r>
              <w:rPr>
                <w:b/>
                <w:bCs/>
                <w:sz w:val="20"/>
                <w:szCs w:val="20"/>
              </w:rPr>
              <w:t xml:space="preserve">re</w:t>
            </w:r>
          </w:p>
        </w:tc>
        <w:tc>
          <w:tcPr>
            <w:tcW w:type="dxa" w:w="6200"/>
            <w:tcMar>
              <w:top w:type="dxa" w:w="80"/>
              <w:left w:type="dxa" w:w="120"/>
              <w:bottom w:type="dxa" w:w="80"/>
              <w:right w:type="dxa" w:w="120"/>
            </w:tcMar>
          </w:tcPr>
          <w:p>
            <w:r>
              <w:rPr>
                <w:sz w:val="20"/>
                <w:szCs w:val="20"/>
              </w:rPr>
              <w:t xml:space="preserve">Regex-based text cleaning and boilerplate removal</w:t>
            </w:r>
          </w:p>
        </w:tc>
      </w:tr>
      <w:tr>
        <w:tc>
          <w:tcPr>
            <w:tcW w:type="dxa" w:w="2800"/>
            <w:shd w:fill="DDEBF7" w:val="clear"/>
            <w:tcMar>
              <w:top w:type="dxa" w:w="80"/>
              <w:left w:type="dxa" w:w="120"/>
              <w:bottom w:type="dxa" w:w="80"/>
              <w:right w:type="dxa" w:w="120"/>
            </w:tcMar>
          </w:tcPr>
          <w:p>
            <w:r>
              <w:rPr>
                <w:b/>
                <w:bCs/>
                <w:sz w:val="20"/>
                <w:szCs w:val="20"/>
              </w:rPr>
              <w:t xml:space="preserve">nltk / spaCy</w:t>
            </w:r>
          </w:p>
        </w:tc>
        <w:tc>
          <w:tcPr>
            <w:tcW w:type="dxa" w:w="6200"/>
            <w:tcMar>
              <w:top w:type="dxa" w:w="80"/>
              <w:left w:type="dxa" w:w="120"/>
              <w:bottom w:type="dxa" w:w="80"/>
              <w:right w:type="dxa" w:w="120"/>
            </w:tcMar>
          </w:tcPr>
          <w:p>
            <w:r>
              <w:rPr>
                <w:sz w:val="20"/>
                <w:szCs w:val="20"/>
              </w:rPr>
              <w:t xml:space="preserve">Tokenization, stop-word removal, lemmatization, NER for skills</w:t>
            </w:r>
          </w:p>
        </w:tc>
      </w:tr>
      <w:tr>
        <w:tc>
          <w:tcPr>
            <w:tcW w:type="dxa" w:w="2800"/>
            <w:shd w:fill="DDEBF7" w:val="clear"/>
            <w:tcMar>
              <w:top w:type="dxa" w:w="80"/>
              <w:left w:type="dxa" w:w="120"/>
              <w:bottom w:type="dxa" w:w="80"/>
              <w:right w:type="dxa" w:w="120"/>
            </w:tcMar>
          </w:tcPr>
          <w:p>
            <w:r>
              <w:rPr>
                <w:b/>
                <w:bCs/>
                <w:sz w:val="20"/>
                <w:szCs w:val="20"/>
              </w:rPr>
              <w:t xml:space="preserve">scikit-learn</w:t>
            </w:r>
          </w:p>
        </w:tc>
        <w:tc>
          <w:tcPr>
            <w:tcW w:type="dxa" w:w="6200"/>
            <w:tcMar>
              <w:top w:type="dxa" w:w="80"/>
              <w:left w:type="dxa" w:w="120"/>
              <w:bottom w:type="dxa" w:w="80"/>
              <w:right w:type="dxa" w:w="120"/>
            </w:tcMar>
          </w:tcPr>
          <w:p>
            <w:r>
              <w:rPr>
                <w:sz w:val="20"/>
                <w:szCs w:val="20"/>
              </w:rPr>
              <w:t xml:space="preserve">TfidfVectorizer, cosine_similarity for near-duplicate detection</w:t>
            </w:r>
          </w:p>
        </w:tc>
      </w:tr>
      <w:tr>
        <w:tc>
          <w:tcPr>
            <w:tcW w:type="dxa" w:w="2800"/>
            <w:shd w:fill="DDEBF7" w:val="clear"/>
            <w:tcMar>
              <w:top w:type="dxa" w:w="80"/>
              <w:left w:type="dxa" w:w="120"/>
              <w:bottom w:type="dxa" w:w="80"/>
              <w:right w:type="dxa" w:w="120"/>
            </w:tcMar>
          </w:tcPr>
          <w:p>
            <w:r>
              <w:rPr>
                <w:b/>
                <w:bCs/>
                <w:sz w:val="20"/>
                <w:szCs w:val="20"/>
              </w:rPr>
              <w:t xml:space="preserve">textdistance / rapidfuzz</w:t>
            </w:r>
          </w:p>
        </w:tc>
        <w:tc>
          <w:tcPr>
            <w:tcW w:type="dxa" w:w="6200"/>
            <w:tcMar>
              <w:top w:type="dxa" w:w="80"/>
              <w:left w:type="dxa" w:w="120"/>
              <w:bottom w:type="dxa" w:w="80"/>
              <w:right w:type="dxa" w:w="120"/>
            </w:tcMar>
          </w:tcPr>
          <w:p>
            <w:r>
              <w:rPr>
                <w:sz w:val="20"/>
                <w:szCs w:val="20"/>
              </w:rPr>
              <w:t xml:space="preserve">Fuzzy matching for skill-synonym normalization</w:t>
            </w:r>
          </w:p>
        </w:tc>
      </w:tr>
    </w:tbl>
    <w:p>
      <w:pPr>
        <w:pStyle w:val="Heading1"/>
        <w:spacing w:after="160" w:before="320"/>
      </w:pPr>
      <w:r>
        <w:rPr>
          <w:b/>
          <w:bCs/>
          <w:color w:val="1F4E79"/>
        </w:rPr>
        <w:t xml:space="preserve">5. Transformation Pipeline</w:t>
      </w:r>
    </w:p>
    <w:p>
      <w:pPr>
        <w:spacing w:after="160" w:line="300"/>
      </w:pPr>
      <w:r>
        <w:t xml:space="preserve">The cleaning and transformation process is organized as a linear pipeline so each stage can be tested and logged independently: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
        <w:gridCol w:w="1400"/>
        <w:gridCol w:w="320"/>
        <w:gridCol w:w="1400"/>
        <w:gridCol w:w="320"/>
        <w:gridCol w:w="1400"/>
        <w:gridCol w:w="320"/>
        <w:gridCol w:w="1400"/>
        <w:gridCol w:w="320"/>
        <w:gridCol w:w="1400"/>
      </w:tblGrid>
      <w:tr>
        <w:tc>
          <w:tcPr>
            <w:tcW w:type="dxa" w:w="1400"/>
            <w:tcBorders>
              <w:top w:val="single" w:color="1F4E79" w:sz="4"/>
              <w:left w:val="single" w:color="1F4E79" w:sz="4"/>
              <w:bottom w:val="single" w:color="1F4E79" w:sz="4"/>
              <w:right w:val="single" w:color="1F4E79" w:sz="4"/>
            </w:tcBorders>
            <w:shd w:fill="DDEBF7" w:val="clear"/>
            <w:tcMar>
              <w:top w:type="dxa" w:w="120"/>
              <w:left w:type="dxa" w:w="100"/>
              <w:bottom w:type="dxa" w:w="120"/>
              <w:right w:type="dxa" w:w="100"/>
            </w:tcMar>
          </w:tcPr>
          <w:p>
            <w:pPr>
              <w:jc w:val="center"/>
            </w:pPr>
            <w:r>
              <w:rPr>
                <w:b/>
                <w:bCs/>
                <w:color w:val="1F4E79"/>
                <w:sz w:val="18"/>
                <w:szCs w:val="18"/>
              </w:rPr>
              <w:t xml:space="preserve">Raw
Text</w:t>
            </w:r>
          </w:p>
        </w:tc>
        <w:tc>
          <w:tcPr>
            <w:tcW w:type="dxa" w:w="320"/>
            <w:tcBorders>
              <w:top w:val="none"/>
              <w:left w:val="none"/>
              <w:bottom w:val="none"/>
              <w:right w:val="none"/>
            </w:tcBorders>
          </w:tcPr>
          <w:p>
            <w:pPr>
              <w:jc w:val="center"/>
            </w:pPr>
            <w:r>
              <w:rPr>
                <w:b/>
                <w:bCs/>
                <w:color w:val="1F4E79"/>
                <w:sz w:val="28"/>
                <w:szCs w:val="28"/>
              </w:rPr>
              <w:t xml:space="preserve">→</w:t>
            </w:r>
          </w:p>
        </w:tc>
        <w:tc>
          <w:tcPr>
            <w:tcW w:type="dxa" w:w="1400"/>
            <w:tcBorders>
              <w:top w:val="single" w:color="1F4E79" w:sz="4"/>
              <w:left w:val="single" w:color="1F4E79" w:sz="4"/>
              <w:bottom w:val="single" w:color="1F4E79" w:sz="4"/>
              <w:right w:val="single" w:color="1F4E79" w:sz="4"/>
            </w:tcBorders>
            <w:shd w:fill="DDEBF7" w:val="clear"/>
            <w:tcMar>
              <w:top w:type="dxa" w:w="120"/>
              <w:left w:type="dxa" w:w="100"/>
              <w:bottom w:type="dxa" w:w="120"/>
              <w:right w:type="dxa" w:w="100"/>
            </w:tcMar>
          </w:tcPr>
          <w:p>
            <w:pPr>
              <w:jc w:val="center"/>
            </w:pPr>
            <w:r>
              <w:rPr>
                <w:b/>
                <w:bCs/>
                <w:color w:val="1F4E79"/>
                <w:sz w:val="18"/>
                <w:szCs w:val="18"/>
              </w:rPr>
              <w:t xml:space="preserve">Deduplicate</w:t>
            </w:r>
          </w:p>
        </w:tc>
        <w:tc>
          <w:tcPr>
            <w:tcW w:type="dxa" w:w="320"/>
            <w:tcBorders>
              <w:top w:val="none"/>
              <w:left w:val="none"/>
              <w:bottom w:val="none"/>
              <w:right w:val="none"/>
            </w:tcBorders>
          </w:tcPr>
          <w:p>
            <w:pPr>
              <w:jc w:val="center"/>
            </w:pPr>
            <w:r>
              <w:rPr>
                <w:b/>
                <w:bCs/>
                <w:color w:val="1F4E79"/>
                <w:sz w:val="28"/>
                <w:szCs w:val="28"/>
              </w:rPr>
              <w:t xml:space="preserve">→</w:t>
            </w:r>
          </w:p>
        </w:tc>
        <w:tc>
          <w:tcPr>
            <w:tcW w:type="dxa" w:w="1400"/>
            <w:tcBorders>
              <w:top w:val="single" w:color="1F4E79" w:sz="4"/>
              <w:left w:val="single" w:color="1F4E79" w:sz="4"/>
              <w:bottom w:val="single" w:color="1F4E79" w:sz="4"/>
              <w:right w:val="single" w:color="1F4E79" w:sz="4"/>
            </w:tcBorders>
            <w:shd w:fill="DDEBF7" w:val="clear"/>
            <w:tcMar>
              <w:top w:type="dxa" w:w="120"/>
              <w:left w:type="dxa" w:w="100"/>
              <w:bottom w:type="dxa" w:w="120"/>
              <w:right w:type="dxa" w:w="100"/>
            </w:tcMar>
          </w:tcPr>
          <w:p>
            <w:pPr>
              <w:jc w:val="center"/>
            </w:pPr>
            <w:r>
              <w:rPr>
                <w:b/>
                <w:bCs/>
                <w:color w:val="1F4E79"/>
                <w:sz w:val="18"/>
                <w:szCs w:val="18"/>
              </w:rPr>
              <w:t xml:space="preserve">Handle
Missing</w:t>
            </w:r>
          </w:p>
        </w:tc>
        <w:tc>
          <w:tcPr>
            <w:tcW w:type="dxa" w:w="320"/>
            <w:tcBorders>
              <w:top w:val="none"/>
              <w:left w:val="none"/>
              <w:bottom w:val="none"/>
              <w:right w:val="none"/>
            </w:tcBorders>
          </w:tcPr>
          <w:p>
            <w:pPr>
              <w:jc w:val="center"/>
            </w:pPr>
            <w:r>
              <w:rPr>
                <w:b/>
                <w:bCs/>
                <w:color w:val="1F4E79"/>
                <w:sz w:val="28"/>
                <w:szCs w:val="28"/>
              </w:rPr>
              <w:t xml:space="preserve">→</w:t>
            </w:r>
          </w:p>
        </w:tc>
        <w:tc>
          <w:tcPr>
            <w:tcW w:type="dxa" w:w="1400"/>
            <w:tcBorders>
              <w:top w:val="single" w:color="1F4E79" w:sz="4"/>
              <w:left w:val="single" w:color="1F4E79" w:sz="4"/>
              <w:bottom w:val="single" w:color="1F4E79" w:sz="4"/>
              <w:right w:val="single" w:color="1F4E79" w:sz="4"/>
            </w:tcBorders>
            <w:shd w:fill="DDEBF7" w:val="clear"/>
            <w:tcMar>
              <w:top w:type="dxa" w:w="120"/>
              <w:left w:type="dxa" w:w="100"/>
              <w:bottom w:type="dxa" w:w="120"/>
              <w:right w:type="dxa" w:w="100"/>
            </w:tcMar>
          </w:tcPr>
          <w:p>
            <w:pPr>
              <w:jc w:val="center"/>
            </w:pPr>
            <w:r>
              <w:rPr>
                <w:b/>
                <w:bCs/>
                <w:color w:val="1F4E79"/>
                <w:sz w:val="18"/>
                <w:szCs w:val="18"/>
              </w:rPr>
              <w:t xml:space="preserve">Normalize
Text</w:t>
            </w:r>
          </w:p>
        </w:tc>
        <w:tc>
          <w:tcPr>
            <w:tcW w:type="dxa" w:w="320"/>
            <w:tcBorders>
              <w:top w:val="none"/>
              <w:left w:val="none"/>
              <w:bottom w:val="none"/>
              <w:right w:val="none"/>
            </w:tcBorders>
          </w:tcPr>
          <w:p>
            <w:pPr>
              <w:jc w:val="center"/>
            </w:pPr>
            <w:r>
              <w:rPr>
                <w:b/>
                <w:bCs/>
                <w:color w:val="1F4E79"/>
                <w:sz w:val="28"/>
                <w:szCs w:val="28"/>
              </w:rPr>
              <w:t xml:space="preserve">→</w:t>
            </w:r>
          </w:p>
        </w:tc>
        <w:tc>
          <w:tcPr>
            <w:tcW w:type="dxa" w:w="1400"/>
            <w:tcBorders>
              <w:top w:val="single" w:color="1F4E79" w:sz="4"/>
              <w:left w:val="single" w:color="1F4E79" w:sz="4"/>
              <w:bottom w:val="single" w:color="1F4E79" w:sz="4"/>
              <w:right w:val="single" w:color="1F4E79" w:sz="4"/>
            </w:tcBorders>
            <w:shd w:fill="DDEBF7" w:val="clear"/>
            <w:tcMar>
              <w:top w:type="dxa" w:w="120"/>
              <w:left w:type="dxa" w:w="100"/>
              <w:bottom w:type="dxa" w:w="120"/>
              <w:right w:type="dxa" w:w="100"/>
            </w:tcMar>
          </w:tcPr>
          <w:p>
            <w:pPr>
              <w:jc w:val="center"/>
            </w:pPr>
            <w:r>
              <w:rPr>
                <w:b/>
                <w:bCs/>
                <w:color w:val="1F4E79"/>
                <w:sz w:val="18"/>
                <w:szCs w:val="18"/>
              </w:rPr>
              <w:t xml:space="preserve">Extract &amp;
Normalize
Skills</w:t>
            </w:r>
          </w:p>
        </w:tc>
        <w:tc>
          <w:tcPr>
            <w:tcW w:type="dxa" w:w="320"/>
            <w:tcBorders>
              <w:top w:val="none"/>
              <w:left w:val="none"/>
              <w:bottom w:val="none"/>
              <w:right w:val="none"/>
            </w:tcBorders>
          </w:tcPr>
          <w:p>
            <w:pPr>
              <w:jc w:val="center"/>
            </w:pPr>
            <w:r>
              <w:rPr>
                <w:b/>
                <w:bCs/>
                <w:color w:val="1F4E79"/>
                <w:sz w:val="28"/>
                <w:szCs w:val="28"/>
              </w:rPr>
              <w:t xml:space="preserve">→</w:t>
            </w:r>
          </w:p>
        </w:tc>
        <w:tc>
          <w:tcPr>
            <w:tcW w:type="dxa" w:w="1400"/>
            <w:tcBorders>
              <w:top w:val="single" w:color="1F4E79" w:sz="4"/>
              <w:left w:val="single" w:color="1F4E79" w:sz="4"/>
              <w:bottom w:val="single" w:color="1F4E79" w:sz="4"/>
              <w:right w:val="single" w:color="1F4E79" w:sz="4"/>
            </w:tcBorders>
            <w:shd w:fill="DDEBF7" w:val="clear"/>
            <w:tcMar>
              <w:top w:type="dxa" w:w="120"/>
              <w:left w:type="dxa" w:w="100"/>
              <w:bottom w:type="dxa" w:w="120"/>
              <w:right w:type="dxa" w:w="100"/>
            </w:tcMar>
          </w:tcPr>
          <w:p>
            <w:pPr>
              <w:jc w:val="center"/>
            </w:pPr>
            <w:r>
              <w:rPr>
                <w:b/>
                <w:bCs/>
                <w:color w:val="1F4E79"/>
                <w:sz w:val="18"/>
                <w:szCs w:val="18"/>
              </w:rPr>
              <w:t xml:space="preserve">Clean
Dataset</w:t>
            </w:r>
          </w:p>
        </w:tc>
      </w:tr>
    </w:tbl>
    <w:p>
      <w:pPr>
        <w:spacing w:after="160" w:line="300"/>
      </w:pPr>
      <w:r>
        <w:t xml:space="preserve"/>
      </w:r>
    </w:p>
    <w:p>
      <w:pPr>
        <w:pStyle w:val="ListParagraph"/>
        <w:numPr>
          <w:ilvl w:val="0"/>
          <w:numId w:val="2"/>
        </w:numPr>
        <w:spacing w:after="90"/>
      </w:pPr>
      <w:r>
        <w:t xml:space="preserve">Each stage writes its output to an intermediate CSV/parquet file, so failures can be diagnosed without re-running the full pipeline.</w:t>
      </w:r>
    </w:p>
    <w:p>
      <w:pPr>
        <w:pStyle w:val="ListParagraph"/>
        <w:numPr>
          <w:ilvl w:val="0"/>
          <w:numId w:val="2"/>
        </w:numPr>
        <w:spacing w:after="90"/>
      </w:pPr>
      <w:r>
        <w:t xml:space="preserve">A transformation log records row counts before/after each stage, enabling a clear before-and-after audit trail.</w:t>
      </w:r>
    </w:p>
    <w:p>
      <w:pPr>
        <w:pStyle w:val="Heading1"/>
        <w:spacing w:after="160" w:before="320"/>
      </w:pPr>
      <w:r>
        <w:rPr>
          <w:b/>
          <w:bCs/>
          <w:color w:val="1F4E79"/>
        </w:rPr>
        <w:t xml:space="preserve">6. Feature Engineering &amp; Scaling</w:t>
      </w:r>
    </w:p>
    <w:p>
      <w:pPr>
        <w:pStyle w:val="ListParagraph"/>
        <w:numPr>
          <w:ilvl w:val="0"/>
          <w:numId w:val="2"/>
        </w:numPr>
        <w:spacing w:after="90"/>
      </w:pPr>
      <w:r>
        <w:t xml:space="preserve">TF-IDF vectorization of cleaned resume text (unigrams and bigrams, max_features capped to control dimensionality).</w:t>
      </w:r>
    </w:p>
    <w:p>
      <w:pPr>
        <w:pStyle w:val="ListParagraph"/>
        <w:numPr>
          <w:ilvl w:val="0"/>
          <w:numId w:val="2"/>
        </w:numPr>
        <w:spacing w:after="90"/>
      </w:pPr>
      <w:r>
        <w:t xml:space="preserve">Numeric features such as years of experience and resume length are scaled with scikit-learn's StandardScaler or MinMaxScaler before use in downstream models.</w:t>
      </w:r>
    </w:p>
    <w:p>
      <w:pPr>
        <w:pStyle w:val="ListParagraph"/>
        <w:numPr>
          <w:ilvl w:val="0"/>
          <w:numId w:val="2"/>
        </w:numPr>
        <w:spacing w:after="90"/>
      </w:pPr>
      <w:r>
        <w:t xml:space="preserve">Categorical job-category labels are encoded with LabelEncoder for classification tasks.</w:t>
      </w:r>
    </w:p>
    <w:p>
      <w:pPr>
        <w:pStyle w:val="ListParagraph"/>
        <w:numPr>
          <w:ilvl w:val="0"/>
          <w:numId w:val="2"/>
        </w:numPr>
        <w:spacing w:after="90"/>
      </w:pPr>
      <w:r>
        <w:t xml:space="preserve">A binary skills-presence matrix (one column per normalized skill) is engineered as a complementary, more interpretable feature set alongside TF-IDF.</w:t>
      </w:r>
    </w:p>
    <w:p>
      <w:pPr>
        <w:pStyle w:val="Heading1"/>
        <w:spacing w:after="160" w:before="320"/>
      </w:pPr>
      <w:r>
        <w:rPr>
          <w:b/>
          <w:bCs/>
          <w:color w:val="1F4E79"/>
        </w:rPr>
        <w:t xml:space="preserve">7. Anticipated Challenges &amp; Mitigations</w:t>
      </w:r>
    </w:p>
    <w:p>
      <w:pPr>
        <w:pStyle w:val="ListParagraph"/>
        <w:numPr>
          <w:ilvl w:val="0"/>
          <w:numId w:val="2"/>
        </w:numPr>
        <w:spacing w:after="90"/>
      </w:pPr>
      <w:r>
        <w:t xml:space="preserve">Challenge: aggressive stop-word removal can strip meaningful short skill tokens (e.g., 'R', 'Go'). Mitigation: use a custom stop-word list that excludes known single-letter/short programming-language names.</w:t>
      </w:r>
    </w:p>
    <w:p>
      <w:pPr>
        <w:pStyle w:val="ListParagraph"/>
        <w:numPr>
          <w:ilvl w:val="0"/>
          <w:numId w:val="2"/>
        </w:numPr>
        <w:spacing w:after="90"/>
      </w:pPr>
      <w:r>
        <w:t xml:space="preserve">Challenge: fuzzy skill matching can create false-positive merges. Mitigation: set a conservative similarity threshold and manually review the synonym dictionary before applying it broadly.</w:t>
      </w:r>
    </w:p>
    <w:p>
      <w:pPr>
        <w:pStyle w:val="ListParagraph"/>
        <w:numPr>
          <w:ilvl w:val="0"/>
          <w:numId w:val="2"/>
        </w:numPr>
        <w:spacing w:after="90"/>
      </w:pPr>
      <w:r>
        <w:t xml:space="preserve">Challenge: dropping rows with missing labels could bias the dataset. Mitigation: report the proportion dropped and compare category distributions before and after.</w:t>
      </w:r>
    </w:p>
    <w:p>
      <w:pPr>
        <w:pStyle w:val="Heading1"/>
        <w:spacing w:after="160" w:before="320"/>
      </w:pPr>
      <w:r>
        <w:rPr>
          <w:b/>
          <w:bCs/>
          <w:color w:val="1F4E79"/>
        </w:rPr>
        <w:t xml:space="preserve">8. Conclusion</w:t>
      </w:r>
    </w:p>
    <w:p>
      <w:pPr>
        <w:spacing w:after="160" w:line="300"/>
      </w:pPr>
      <w:r>
        <w:t xml:space="preserve">This plan converts noisy, inconsistent resume and job-description text into a clean, structured dataset ready for exploratory analysis and modeling. Each transformation step is logged and reversible where possible, keeping the pipeline transparent and reproducible for the remainder of the AI Resume Screening System project.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Page </w:t>
    </w:r>
    <w:r>
      <w:rPr>
        <w:color w:val="8C8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AI Resume Screening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2026-09-13T14:46:06.216Z</dcterms:created>
  <dcterms:modified xsi:type="dcterms:W3CDTF">2026-09-13T14:46:06.216Z</dcterms:modified>
</cp:coreProperties>
</file>

<file path=docProps/custom.xml><?xml version="1.0" encoding="utf-8"?>
<Properties xmlns="http://schemas.openxmlformats.org/officeDocument/2006/custom-properties" xmlns:vt="http://schemas.openxmlformats.org/officeDocument/2006/docPropsVTypes"/>
</file>