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4"/>
          <w:szCs w:val="44"/>
        </w:rPr>
        <w:t xml:space="preserve">AI Resume Screening System</w:t>
      </w:r>
    </w:p>
    <w:p>
      <w:pPr>
        <w:spacing w:before="200"/>
        <w:jc w:val="center"/>
      </w:pPr>
      <w:r>
        <w:rPr>
          <w:b/>
          <w:bCs/>
          <w:sz w:val="32"/>
          <w:szCs w:val="32"/>
        </w:rPr>
        <w:t xml:space="preserve">Exploratory Data Analysis and Visualization Strategy</w:t>
      </w:r>
    </w:p>
    <w:p>
      <w:pPr>
        <w:spacing w:before="200"/>
        <w:jc w:val="center"/>
      </w:pPr>
      <w:r>
        <w:rPr>
          <w:i/>
          <w:iCs/>
          <w:color w:val="595959"/>
          <w:sz w:val="24"/>
          <w:szCs w:val="24"/>
        </w:rPr>
        <w:t xml:space="preserve">A Python-Based Resume Screening &amp; Candidate Ranking System</w:t>
      </w:r>
    </w:p>
    <w:p>
      <w:pPr>
        <w:spacing w:before="600"/>
        <w:jc w:val="center"/>
      </w:pPr>
      <w:r>
        <w:rPr>
          <w:color w:val="595959"/>
          <w:sz w:val="22"/>
          <w:szCs w:val="22"/>
        </w:rPr>
        <w:t xml:space="preserve">Week 3 Task</w:t>
      </w:r>
    </w:p>
    <w:p>
      <w:pPr>
        <w:spacing w:before="100"/>
        <w:jc w:val="center"/>
      </w:pPr>
      <w:r>
        <w:rPr>
          <w:color w:val="595959"/>
          <w:sz w:val="22"/>
          <w:szCs w:val="22"/>
        </w:rPr>
        <w:t xml:space="preserve">Virtual Data Science Apprentice – Python Specialist Intern</w:t>
      </w:r>
    </w:p>
    <w:p>
      <w:pPr>
        <w:pageBreakBefore/>
      </w:pPr>
      <w:r>
        <w:br/>
        <w:t xml:space="preserve"/>
      </w:r>
    </w:p>
    <w:p>
      <w:pPr>
        <w:pStyle w:val="Heading1"/>
        <w:spacing w:after="160" w:before="320"/>
      </w:pPr>
      <w:r>
        <w:rPr>
          <w:b/>
          <w:bCs/>
          <w:color w:val="1F4E79"/>
        </w:rPr>
        <w:t xml:space="preserve">1. Introduction</w:t>
      </w:r>
    </w:p>
    <w:p>
      <w:pPr>
        <w:spacing w:after="160" w:line="300"/>
      </w:pPr>
      <w:r>
        <w:t xml:space="preserve">With a cleaned dataset in hand from Week 2, the next step is to explore it visually before any model is trained. Exploratory Data Analysis (EDA) surfaces the patterns, imbalances, and anomalies that will directly influence modeling choices in Week 4 — for example, whether class weighting is needed, which skills are most discriminative between job categories, and how resume length relates to category. This document outlines the EDA and visualization strategy for the AI Resume Screening System.</w:t>
      </w:r>
    </w:p>
    <w:p>
      <w:pPr>
        <w:pStyle w:val="Heading1"/>
        <w:spacing w:after="160" w:before="320"/>
      </w:pPr>
      <w:r>
        <w:rPr>
          <w:b/>
          <w:bCs/>
          <w:color w:val="1F4E79"/>
        </w:rPr>
        <w:t xml:space="preserve">2. Objectives of the EDA Stage</w:t>
      </w:r>
    </w:p>
    <w:p>
      <w:pPr>
        <w:pStyle w:val="ListParagraph"/>
        <w:numPr>
          <w:ilvl w:val="0"/>
          <w:numId w:val="2"/>
        </w:numPr>
        <w:spacing w:after="90"/>
      </w:pPr>
      <w:r>
        <w:t xml:space="preserve">Understand the distribution of job categories and identify class imbalance.</w:t>
      </w:r>
    </w:p>
    <w:p>
      <w:pPr>
        <w:pStyle w:val="ListParagraph"/>
        <w:numPr>
          <w:ilvl w:val="0"/>
          <w:numId w:val="2"/>
        </w:numPr>
        <w:spacing w:after="90"/>
      </w:pPr>
      <w:r>
        <w:t xml:space="preserve">Characterize resume text properties: length, vocabulary richness, and common terms per category.</w:t>
      </w:r>
    </w:p>
    <w:p>
      <w:pPr>
        <w:pStyle w:val="ListParagraph"/>
        <w:numPr>
          <w:ilvl w:val="0"/>
          <w:numId w:val="2"/>
        </w:numPr>
        <w:spacing w:after="90"/>
      </w:pPr>
      <w:r>
        <w:t xml:space="preserve">Identify the most frequent and most discriminative skills across categories.</w:t>
      </w:r>
    </w:p>
    <w:p>
      <w:pPr>
        <w:pStyle w:val="ListParagraph"/>
        <w:numPr>
          <w:ilvl w:val="0"/>
          <w:numId w:val="2"/>
        </w:numPr>
        <w:spacing w:after="90"/>
      </w:pPr>
      <w:r>
        <w:t xml:space="preserve">Explore the relationship between engineered features (e.g., years of experience, resume length) and job category.</w:t>
      </w:r>
    </w:p>
    <w:p>
      <w:pPr>
        <w:pStyle w:val="ListParagraph"/>
        <w:numPr>
          <w:ilvl w:val="0"/>
          <w:numId w:val="2"/>
        </w:numPr>
        <w:spacing w:after="90"/>
      </w:pPr>
      <w:r>
        <w:t xml:space="preserve">Surface any residual data-quality issues that cleaning may have missed.</w:t>
      </w:r>
    </w:p>
    <w:p>
      <w:pPr>
        <w:pStyle w:val="Heading1"/>
        <w:spacing w:after="160" w:before="320"/>
      </w:pPr>
      <w:r>
        <w:rPr>
          <w:b/>
          <w:bCs/>
          <w:color w:val="1F4E79"/>
        </w:rPr>
        <w:t xml:space="preserve">3. Planned Visualizations</w:t>
      </w:r>
    </w:p>
    <w:p>
      <w:pPr>
        <w:pStyle w:val="Heading2"/>
        <w:spacing w:after="120" w:before="240"/>
      </w:pPr>
      <w:r>
        <w:rPr>
          <w:b/>
          <w:bCs/>
          <w:color w:val="1F4E79"/>
        </w:rPr>
        <w:t xml:space="preserve">3.1 Category Distribution — Bar Chart</w:t>
      </w:r>
    </w:p>
    <w:p>
      <w:pPr>
        <w:spacing w:after="160" w:line="300"/>
      </w:pPr>
      <w:r>
        <w:t xml:space="preserve">A horizontal bar chart of resume counts per job category, built with seaborn.countplot, to immediately reveal class imbalance that will inform the Week 4 modeling and evaluation-metric choices (e.g., preferring F1/precision-recall over raw accuracy).</w:t>
      </w:r>
    </w:p>
    <w:p>
      <w:pPr>
        <w:pStyle w:val="Heading2"/>
        <w:spacing w:after="120" w:before="240"/>
      </w:pPr>
      <w:r>
        <w:rPr>
          <w:b/>
          <w:bCs/>
          <w:color w:val="1F4E79"/>
        </w:rPr>
        <w:t xml:space="preserve">3.2 Resume Length Distribution — Histogram / Box Plot</w:t>
      </w:r>
    </w:p>
    <w:p>
      <w:pPr>
        <w:spacing w:after="160" w:line="300"/>
      </w:pPr>
      <w:r>
        <w:t xml:space="preserve">A histogram of token counts per resume (matplotlib.pyplot.hist) overlaid with a box plot per category (seaborn.boxplot) to detect outliers left after cleaning and to see whether length itself correlates with category.</w:t>
      </w:r>
    </w:p>
    <w:p>
      <w:pPr>
        <w:pStyle w:val="Heading2"/>
        <w:spacing w:after="120" w:before="240"/>
      </w:pPr>
      <w:r>
        <w:rPr>
          <w:b/>
          <w:bCs/>
          <w:color w:val="1F4E79"/>
        </w:rPr>
        <w:t xml:space="preserve">3.3 Skill Frequency — Word Cloud &amp; Horizontal Bar Chart</w:t>
      </w:r>
    </w:p>
    <w:p>
      <w:pPr>
        <w:spacing w:after="160" w:line="300"/>
      </w:pPr>
      <w:r>
        <w:t xml:space="preserve">A word cloud (wordcloud library) built from the normalized skills column gives an intuitive first look, followed by a precise horizontal bar chart of the top 20 most frequent skills for exact comparison.</w:t>
      </w:r>
    </w:p>
    <w:p>
      <w:pPr>
        <w:pStyle w:val="Heading2"/>
        <w:spacing w:after="120" w:before="240"/>
      </w:pPr>
      <w:r>
        <w:rPr>
          <w:b/>
          <w:bCs/>
          <w:color w:val="1F4E79"/>
        </w:rPr>
        <w:t xml:space="preserve">3.4 Skill-by-Category Heatmap</w:t>
      </w:r>
    </w:p>
    <w:p>
      <w:pPr>
        <w:spacing w:after="160" w:line="300"/>
      </w:pPr>
      <w:r>
        <w:t xml:space="preserve">A heatmap (seaborn.heatmap) of the top N skills versus job category, showing normalized frequency, to visually identify which skills are most discriminative for each category — directly informing feature selection for the classifier.</w:t>
      </w:r>
    </w:p>
    <w:p>
      <w:pPr>
        <w:pStyle w:val="Heading2"/>
        <w:spacing w:after="120" w:before="240"/>
      </w:pPr>
      <w:r>
        <w:rPr>
          <w:b/>
          <w:bCs/>
          <w:color w:val="1F4E79"/>
        </w:rPr>
        <w:t xml:space="preserve">3.5 Years-of-Experience vs. Category — Violin Plot</w:t>
      </w:r>
    </w:p>
    <w:p>
      <w:pPr>
        <w:spacing w:after="160" w:line="300"/>
      </w:pPr>
      <w:r>
        <w:t xml:space="preserve">A violin plot (seaborn.violinplot) comparing the distribution of extracted years-of-experience across categories, useful for sanity-checking the entity-extraction step from Week 2 and understanding seniority spread per role.</w:t>
      </w:r>
    </w:p>
    <w:p>
      <w:pPr>
        <w:pStyle w:val="Heading2"/>
        <w:spacing w:after="120" w:before="240"/>
      </w:pPr>
      <w:r>
        <w:rPr>
          <w:b/>
          <w:bCs/>
          <w:color w:val="1F4E79"/>
        </w:rPr>
        <w:t xml:space="preserve">3.6 TF-IDF Term Correlation — Scatter / PCA Projection</w:t>
      </w:r>
    </w:p>
    <w:p>
      <w:pPr>
        <w:spacing w:after="160" w:line="300"/>
      </w:pPr>
      <w:r>
        <w:t xml:space="preserve">A 2D PCA or t-SNE projection (scikit-learn) of the TF-IDF matrix, colored by job category, to visually assess how separable the categories already are in feature space before any classifier is trained.</w:t>
      </w:r>
    </w:p>
    <w:p>
      <w:pPr>
        <w:pStyle w:val="Heading1"/>
        <w:spacing w:after="160" w:before="320"/>
      </w:pPr>
      <w:r>
        <w:rPr>
          <w:b/>
          <w:bCs/>
          <w:color w:val="1F4E79"/>
        </w:rPr>
        <w:t xml:space="preserve">4. Visualization Library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DEBF7" w:val="clear"/>
            <w:tcMar>
              <w:top w:type="dxa" w:w="80"/>
              <w:left w:type="dxa" w:w="120"/>
              <w:bottom w:type="dxa" w:w="80"/>
              <w:right w:type="dxa" w:w="120"/>
            </w:tcMar>
          </w:tcPr>
          <w:p>
            <w:r>
              <w:rPr>
                <w:b/>
                <w:bCs/>
                <w:sz w:val="20"/>
                <w:szCs w:val="20"/>
              </w:rPr>
              <w:t xml:space="preserve">matplotlib</w:t>
            </w:r>
          </w:p>
        </w:tc>
        <w:tc>
          <w:tcPr>
            <w:tcW w:type="dxa" w:w="6200"/>
            <w:tcMar>
              <w:top w:type="dxa" w:w="80"/>
              <w:left w:type="dxa" w:w="120"/>
              <w:bottom w:type="dxa" w:w="80"/>
              <w:right w:type="dxa" w:w="120"/>
            </w:tcMar>
          </w:tcPr>
          <w:p>
            <w:r>
              <w:rPr>
                <w:sz w:val="20"/>
                <w:szCs w:val="20"/>
              </w:rPr>
              <w:t xml:space="preserve">Base plotting: histograms, custom layouts, PCA scatter</w:t>
            </w:r>
          </w:p>
        </w:tc>
      </w:tr>
      <w:tr>
        <w:tc>
          <w:tcPr>
            <w:tcW w:type="dxa" w:w="2800"/>
            <w:shd w:fill="DDEBF7" w:val="clear"/>
            <w:tcMar>
              <w:top w:type="dxa" w:w="80"/>
              <w:left w:type="dxa" w:w="120"/>
              <w:bottom w:type="dxa" w:w="80"/>
              <w:right w:type="dxa" w:w="120"/>
            </w:tcMar>
          </w:tcPr>
          <w:p>
            <w:r>
              <w:rPr>
                <w:b/>
                <w:bCs/>
                <w:sz w:val="20"/>
                <w:szCs w:val="20"/>
              </w:rPr>
              <w:t xml:space="preserve">seaborn</w:t>
            </w:r>
          </w:p>
        </w:tc>
        <w:tc>
          <w:tcPr>
            <w:tcW w:type="dxa" w:w="6200"/>
            <w:tcMar>
              <w:top w:type="dxa" w:w="80"/>
              <w:left w:type="dxa" w:w="120"/>
              <w:bottom w:type="dxa" w:w="80"/>
              <w:right w:type="dxa" w:w="120"/>
            </w:tcMar>
          </w:tcPr>
          <w:p>
            <w:r>
              <w:rPr>
                <w:sz w:val="20"/>
                <w:szCs w:val="20"/>
              </w:rPr>
              <w:t xml:space="preserve">Statistical plots: count plots, box/violin plots, heatmaps</w:t>
            </w:r>
          </w:p>
        </w:tc>
      </w:tr>
      <w:tr>
        <w:tc>
          <w:tcPr>
            <w:tcW w:type="dxa" w:w="2800"/>
            <w:shd w:fill="DDEBF7" w:val="clear"/>
            <w:tcMar>
              <w:top w:type="dxa" w:w="80"/>
              <w:left w:type="dxa" w:w="120"/>
              <w:bottom w:type="dxa" w:w="80"/>
              <w:right w:type="dxa" w:w="120"/>
            </w:tcMar>
          </w:tcPr>
          <w:p>
            <w:r>
              <w:rPr>
                <w:b/>
                <w:bCs/>
                <w:sz w:val="20"/>
                <w:szCs w:val="20"/>
              </w:rPr>
              <w:t xml:space="preserve">wordcloud</w:t>
            </w:r>
          </w:p>
        </w:tc>
        <w:tc>
          <w:tcPr>
            <w:tcW w:type="dxa" w:w="6200"/>
            <w:tcMar>
              <w:top w:type="dxa" w:w="80"/>
              <w:left w:type="dxa" w:w="120"/>
              <w:bottom w:type="dxa" w:w="80"/>
              <w:right w:type="dxa" w:w="120"/>
            </w:tcMar>
          </w:tcPr>
          <w:p>
            <w:r>
              <w:rPr>
                <w:sz w:val="20"/>
                <w:szCs w:val="20"/>
              </w:rPr>
              <w:t xml:space="preserve">Skill and keyword word clouds</w:t>
            </w:r>
          </w:p>
        </w:tc>
      </w:tr>
      <w:tr>
        <w:tc>
          <w:tcPr>
            <w:tcW w:type="dxa" w:w="2800"/>
            <w:shd w:fill="DDEBF7" w:val="clear"/>
            <w:tcMar>
              <w:top w:type="dxa" w:w="80"/>
              <w:left w:type="dxa" w:w="120"/>
              <w:bottom w:type="dxa" w:w="80"/>
              <w:right w:type="dxa" w:w="120"/>
            </w:tcMar>
          </w:tcPr>
          <w:p>
            <w:r>
              <w:rPr>
                <w:b/>
                <w:bCs/>
                <w:sz w:val="20"/>
                <w:szCs w:val="20"/>
              </w:rPr>
              <w:t xml:space="preserve">scikit-learn</w:t>
            </w:r>
          </w:p>
        </w:tc>
        <w:tc>
          <w:tcPr>
            <w:tcW w:type="dxa" w:w="6200"/>
            <w:tcMar>
              <w:top w:type="dxa" w:w="80"/>
              <w:left w:type="dxa" w:w="120"/>
              <w:bottom w:type="dxa" w:w="80"/>
              <w:right w:type="dxa" w:w="120"/>
            </w:tcMar>
          </w:tcPr>
          <w:p>
            <w:r>
              <w:rPr>
                <w:sz w:val="20"/>
                <w:szCs w:val="20"/>
              </w:rPr>
              <w:t xml:space="preserve">PCA / t-SNE dimensionality reduction for the projection plot</w:t>
            </w:r>
          </w:p>
        </w:tc>
      </w:tr>
      <w:tr>
        <w:tc>
          <w:tcPr>
            <w:tcW w:type="dxa" w:w="2800"/>
            <w:shd w:fill="DDEBF7" w:val="clear"/>
            <w:tcMar>
              <w:top w:type="dxa" w:w="80"/>
              <w:left w:type="dxa" w:w="120"/>
              <w:bottom w:type="dxa" w:w="80"/>
              <w:right w:type="dxa" w:w="120"/>
            </w:tcMar>
          </w:tcPr>
          <w:p>
            <w:r>
              <w:rPr>
                <w:b/>
                <w:bCs/>
                <w:sz w:val="20"/>
                <w:szCs w:val="20"/>
              </w:rPr>
              <w:t xml:space="preserve">pandas</w:t>
            </w:r>
          </w:p>
        </w:tc>
        <w:tc>
          <w:tcPr>
            <w:tcW w:type="dxa" w:w="6200"/>
            <w:tcMar>
              <w:top w:type="dxa" w:w="80"/>
              <w:left w:type="dxa" w:w="120"/>
              <w:bottom w:type="dxa" w:w="80"/>
              <w:right w:type="dxa" w:w="120"/>
            </w:tcMar>
          </w:tcPr>
          <w:p>
            <w:r>
              <w:rPr>
                <w:sz w:val="20"/>
                <w:szCs w:val="20"/>
              </w:rPr>
              <w:t xml:space="preserve">Groupby aggregations feeding every chart</w:t>
            </w:r>
          </w:p>
        </w:tc>
      </w:tr>
    </w:tbl>
    <w:p>
      <w:pPr>
        <w:pStyle w:val="Heading1"/>
        <w:spacing w:after="160" w:before="320"/>
      </w:pPr>
      <w:r>
        <w:rPr>
          <w:b/>
          <w:bCs/>
          <w:color w:val="1F4E79"/>
        </w:rPr>
        <w:t xml:space="preserve">5. EDA Workflow</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320"/>
        <w:gridCol w:w="1600"/>
        <w:gridCol w:w="320"/>
        <w:gridCol w:w="1600"/>
        <w:gridCol w:w="320"/>
        <w:gridCol w:w="1600"/>
        <w:gridCol w:w="320"/>
        <w:gridCol w:w="1600"/>
      </w:tblGrid>
      <w:tr>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Load
Clean Data</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Univariate
Analysis</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Category
Comparisons</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Text/Skill
Analysis</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Document
Insights</w:t>
            </w:r>
          </w:p>
        </w:tc>
      </w:tr>
    </w:tbl>
    <w:p>
      <w:pPr>
        <w:spacing w:after="160" w:line="300"/>
      </w:pPr>
      <w:r>
        <w:t xml:space="preserve"/>
      </w:r>
    </w:p>
    <w:p>
      <w:pPr>
        <w:pStyle w:val="ListParagraph"/>
        <w:numPr>
          <w:ilvl w:val="0"/>
          <w:numId w:val="2"/>
        </w:numPr>
        <w:spacing w:after="90"/>
      </w:pPr>
      <w:r>
        <w:t xml:space="preserve">Univariate analysis: distributions of category, resume length, and experience in isolation.</w:t>
      </w:r>
    </w:p>
    <w:p>
      <w:pPr>
        <w:pStyle w:val="ListParagraph"/>
        <w:numPr>
          <w:ilvl w:val="0"/>
          <w:numId w:val="2"/>
        </w:numPr>
        <w:spacing w:after="90"/>
      </w:pPr>
      <w:r>
        <w:t xml:space="preserve">Category comparisons: how each of the above varies across job categories.</w:t>
      </w:r>
    </w:p>
    <w:p>
      <w:pPr>
        <w:pStyle w:val="ListParagraph"/>
        <w:numPr>
          <w:ilvl w:val="0"/>
          <w:numId w:val="2"/>
        </w:numPr>
        <w:spacing w:after="90"/>
      </w:pPr>
      <w:r>
        <w:t xml:space="preserve">Text/skill analysis: word clouds, top-N skills, and the skill-category heatmap.</w:t>
      </w:r>
    </w:p>
    <w:p>
      <w:pPr>
        <w:pStyle w:val="ListParagraph"/>
        <w:numPr>
          <w:ilvl w:val="0"/>
          <w:numId w:val="2"/>
        </w:numPr>
        <w:spacing w:after="90"/>
      </w:pPr>
      <w:r>
        <w:t xml:space="preserve">Documentation: every chart is paired with two to three sentences of written interpretation, not left to speak for itself.</w:t>
      </w:r>
    </w:p>
    <w:p>
      <w:pPr>
        <w:pStyle w:val="Heading1"/>
        <w:spacing w:after="160" w:before="320"/>
      </w:pPr>
      <w:r>
        <w:rPr>
          <w:b/>
          <w:bCs/>
          <w:color w:val="1F4E79"/>
        </w:rPr>
        <w:t xml:space="preserve">6. How Each Visualization Ties to Project Objectives</w:t>
      </w:r>
    </w:p>
    <w:p>
      <w:pPr>
        <w:pStyle w:val="ListParagraph"/>
        <w:numPr>
          <w:ilvl w:val="0"/>
          <w:numId w:val="2"/>
        </w:numPr>
        <w:spacing w:after="90"/>
      </w:pPr>
      <w:r>
        <w:t xml:space="preserve">Category distribution directly informs the evaluation-metric strategy in Week 4 (class-imbalance-aware metrics).</w:t>
      </w:r>
    </w:p>
    <w:p>
      <w:pPr>
        <w:pStyle w:val="ListParagraph"/>
        <w:numPr>
          <w:ilvl w:val="0"/>
          <w:numId w:val="2"/>
        </w:numPr>
        <w:spacing w:after="90"/>
      </w:pPr>
      <w:r>
        <w:t xml:space="preserve">Skill-category heatmap guides which engineered skill features are most worth keeping for the classifier.</w:t>
      </w:r>
    </w:p>
    <w:p>
      <w:pPr>
        <w:pStyle w:val="ListParagraph"/>
        <w:numPr>
          <w:ilvl w:val="0"/>
          <w:numId w:val="2"/>
        </w:numPr>
        <w:spacing w:after="90"/>
      </w:pPr>
      <w:r>
        <w:t xml:space="preserve">The PCA/t-SNE projection gives an early, low-cost signal on whether classical ML models are likely to separate categories well, or whether more complex features (e.g., embeddings) will be needed.</w:t>
      </w:r>
    </w:p>
    <w:p>
      <w:pPr>
        <w:pStyle w:val="ListParagraph"/>
        <w:numPr>
          <w:ilvl w:val="0"/>
          <w:numId w:val="2"/>
        </w:numPr>
        <w:spacing w:after="90"/>
      </w:pPr>
      <w:r>
        <w:t xml:space="preserve">Resume-length and experience distributions help validate that Week 2's cleaning and extraction steps produced sensible values.</w:t>
      </w:r>
    </w:p>
    <w:p>
      <w:pPr>
        <w:pStyle w:val="Heading1"/>
        <w:spacing w:after="160" w:before="320"/>
      </w:pPr>
      <w:r>
        <w:rPr>
          <w:b/>
          <w:bCs/>
          <w:color w:val="1F4E79"/>
        </w:rPr>
        <w:t xml:space="preserve">7. Plan for Documenting Findings</w:t>
      </w:r>
    </w:p>
    <w:p>
      <w:pPr>
        <w:pStyle w:val="ListParagraph"/>
        <w:numPr>
          <w:ilvl w:val="0"/>
          <w:numId w:val="2"/>
        </w:numPr>
        <w:spacing w:after="90"/>
      </w:pPr>
      <w:r>
        <w:t xml:space="preserve">Each visualization is saved as a labeled PNG/figure and embedded in a single EDA report alongside its interpretation.</w:t>
      </w:r>
    </w:p>
    <w:p>
      <w:pPr>
        <w:pStyle w:val="ListParagraph"/>
        <w:numPr>
          <w:ilvl w:val="0"/>
          <w:numId w:val="2"/>
        </w:numPr>
        <w:spacing w:after="90"/>
      </w:pPr>
      <w:r>
        <w:t xml:space="preserve">A short 'Key Insights' summary (5–10 bullet points) is compiled at the end, translating chart-level observations into concrete modeling decisions for Week 4.</w:t>
      </w:r>
    </w:p>
    <w:p>
      <w:pPr>
        <w:pStyle w:val="ListParagraph"/>
        <w:numPr>
          <w:ilvl w:val="0"/>
          <w:numId w:val="2"/>
        </w:numPr>
        <w:spacing w:after="90"/>
      </w:pPr>
      <w:r>
        <w:t xml:space="preserve">Any residual data-quality issues discovered during EDA are logged and fed back into the Week 2 cleaning script for a second pass if needed.</w:t>
      </w:r>
    </w:p>
    <w:p>
      <w:pPr>
        <w:pStyle w:val="Heading1"/>
        <w:spacing w:after="160" w:before="320"/>
      </w:pPr>
      <w:r>
        <w:rPr>
          <w:b/>
          <w:bCs/>
          <w:color w:val="1F4E79"/>
        </w:rPr>
        <w:t xml:space="preserve">8. Anticipated Challenges</w:t>
      </w:r>
    </w:p>
    <w:p>
      <w:pPr>
        <w:pStyle w:val="ListParagraph"/>
        <w:numPr>
          <w:ilvl w:val="0"/>
          <w:numId w:val="2"/>
        </w:numPr>
        <w:spacing w:after="90"/>
      </w:pPr>
      <w:r>
        <w:t xml:space="preserve">Word clouds can overweight common-but-uninformative terms; mitigated by restricting input to the normalized skills column rather than full resume text.</w:t>
      </w:r>
    </w:p>
    <w:p>
      <w:pPr>
        <w:pStyle w:val="ListParagraph"/>
        <w:numPr>
          <w:ilvl w:val="0"/>
          <w:numId w:val="2"/>
        </w:numPr>
        <w:spacing w:after="90"/>
      </w:pPr>
      <w:r>
        <w:t xml:space="preserve">High-dimensional TF-IDF projections (PCA/t-SNE) can be misleading at low sample sizes per category; results will be interpreted cautiously and cross-checked against the heatmap.</w:t>
      </w:r>
    </w:p>
    <w:p>
      <w:pPr>
        <w:pStyle w:val="ListParagraph"/>
        <w:numPr>
          <w:ilvl w:val="0"/>
          <w:numId w:val="2"/>
        </w:numPr>
        <w:spacing w:after="90"/>
      </w:pPr>
      <w:r>
        <w:t xml:space="preserve">Category imbalance can make bar charts and heatmaps visually dominated by a few large classes; normalized (percentage-based) versions will be shown alongside raw counts.</w:t>
      </w:r>
    </w:p>
    <w:p>
      <w:pPr>
        <w:pStyle w:val="Heading1"/>
        <w:spacing w:after="160" w:before="320"/>
      </w:pPr>
      <w:r>
        <w:rPr>
          <w:b/>
          <w:bCs/>
          <w:color w:val="1F4E79"/>
        </w:rPr>
        <w:t xml:space="preserve">9. Conclusion</w:t>
      </w:r>
    </w:p>
    <w:p>
      <w:pPr>
        <w:spacing w:after="160" w:line="300"/>
      </w:pPr>
      <w:r>
        <w:t xml:space="preserve">This EDA plan moves systematically from simple univariate distributions to cross-category comparisons and finally to text/skill-specific analysis, ensuring that every visualization produced has a clear purpose and a direct link to a modeling decision made in Week 4. The result will be a well-documented EDA report that both validates the Week 2 cleaning pipeline and sets up an informed model-selection process.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AI Resume Screening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2026-09-13T14:46:06.392Z</dcterms:created>
  <dcterms:modified xsi:type="dcterms:W3CDTF">2026-09-13T14:46:06.392Z</dcterms:modified>
</cp:coreProperties>
</file>

<file path=docProps/custom.xml><?xml version="1.0" encoding="utf-8"?>
<Properties xmlns="http://schemas.openxmlformats.org/officeDocument/2006/custom-properties" xmlns:vt="http://schemas.openxmlformats.org/officeDocument/2006/docPropsVTypes"/>
</file>