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8"/>
        </w:rPr>
        <w:t>SOLAR-BASED SMART RINGING BELL SYSTEM</w:t>
      </w:r>
    </w:p>
    <w:p>
      <w:pPr>
        <w:jc w:val="center"/>
      </w:pPr>
      <w:r>
        <w:rPr>
          <w:rFonts w:ascii="Calibri" w:hAnsi="Calibri"/>
          <w:b/>
          <w:color w:val="2B6CB0"/>
          <w:sz w:val="26"/>
        </w:rPr>
        <w:t>PANAGUINTINGAN ELEMENTARY SCHOOL • ESP32 &amp; HUB75 MATRIX CONTROLLER</w:t>
      </w:r>
    </w:p>
    <w:p>
      <w:pPr>
        <w:jc w:val="center"/>
      </w:pPr>
      <w:r>
        <w:rPr>
          <w:rFonts w:ascii="Calibri" w:hAnsi="Calibri"/>
          <w:color w:val="718096"/>
          <w:sz w:val="19"/>
        </w:rPr>
        <w:t>System Architecture, Operational Process Flow &amp; Hardware Visual Documentation</w:t>
        <w:br/>
        <w:t>Author: Engineering Pair Team • Target Platform: ESP32-WROOM-32 / LittleFS / FreeRTOS</w:t>
      </w:r>
    </w:p>
    <w:tbl>
      <w:tblPr>
        <w:tblW w:type="auto" w:w="0"/>
        <w:jc w:val="center"/>
        <w:tblLook w:firstColumn="1" w:firstRow="1" w:lastColumn="0" w:lastRow="0" w:noHBand="0" w:noVBand="1" w:val="04A0"/>
      </w:tblPr>
      <w:tblGrid>
        <w:gridCol w:w="10080"/>
      </w:tblGrid>
      <w:tr>
        <w:tc>
          <w:tcPr>
            <w:tcW w:type="dxa" w:w="9792"/>
            <w:shd w:fill="F0F4F8"/>
            <w:tcMar>
              <w:top w:w="140" w:type="dxa"/>
              <w:bottom w:w="140" w:type="dxa"/>
              <w:left w:w="200" w:type="dxa"/>
              <w:right w:w="200" w:type="dxa"/>
            </w:tcMar>
          </w:tcPr>
          <w:p>
            <w:pPr>
              <w:spacing w:after="40"/>
            </w:pPr>
            <w:r>
              <w:rPr>
                <w:rFonts w:ascii="Calibri" w:hAnsi="Calibri"/>
                <w:b/>
                <w:color w:val="1A365D"/>
                <w:sz w:val="22"/>
              </w:rPr>
              <w:t>System Overview &amp; Engineering Scope</w:t>
              <w:br/>
            </w:r>
            <w:r>
              <w:rPr>
                <w:rFonts w:ascii="Calibri" w:hAnsi="Calibri"/>
                <w:color w:val="2D3748"/>
                <w:sz w:val="19"/>
              </w:rPr>
              <w:t>This document provides comprehensive technical documentation and process screenshots for the Solar-Based Smart Ringing Bell &amp; HUB75 RGB LED Matrix System. Designed for high reliability in offline school environments, the system features GPS atomic time synchronization, FreeRTOS multi-core task scheduling, LittleFS non-volatile storage, optocoupler-isolated relay actuation, and an offline responsive Web Management Portal hosted directly from ESP32 internal flash memory.</w:t>
            </w:r>
          </w:p>
        </w:tc>
      </w:tr>
    </w:tbl>
    <w:p>
      <w:r>
        <w:br w:type="page"/>
      </w:r>
    </w:p>
    <w:p>
      <w:pPr>
        <w:keepNext/>
        <w:spacing w:before="280" w:after="120"/>
      </w:pPr>
      <w:r>
        <w:rPr>
          <w:rFonts w:ascii="Calibri" w:hAnsi="Calibri"/>
          <w:b/>
          <w:color w:val="1A365D"/>
          <w:sz w:val="32"/>
        </w:rPr>
        <w:t>🏠 Page 1: System Authentication, Access &amp; Live Dashboard Process</w:t>
      </w:r>
    </w:p>
    <w:p>
      <w:pPr>
        <w:spacing w:after="120" w:line="276" w:lineRule="auto"/>
      </w:pPr>
      <w:r>
        <w:rPr>
          <w:rFonts w:ascii="Calibri" w:hAnsi="Calibri"/>
          <w:b/>
          <w:color w:val="2D3748"/>
          <w:sz w:val="21"/>
        </w:rPr>
        <w:t xml:space="preserve">Process Overview: </w:t>
      </w:r>
      <w:r>
        <w:rPr>
          <w:rFonts w:ascii="Calibri" w:hAnsi="Calibri"/>
          <w:color w:val="2D3748"/>
          <w:sz w:val="21"/>
        </w:rPr>
        <w:t>The ESP32 creates an isolated WiFi SoftAP (SSID: ESP32-Bell-System, IP: 192.168.4.1) requiring zero external internet. Access to the web management console is protected by a secondary SHA-256 session-based authentication layer.</w:t>
      </w:r>
    </w:p>
    <w:p>
      <w:pPr>
        <w:keepNext/>
        <w:spacing w:before="12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page1_1_login_portal.png"/>
                    <pic:cNvPicPr/>
                  </pic:nvPicPr>
                  <pic:blipFill>
                    <a:blip r:embed="rId9"/>
                    <a:stretch>
                      <a:fillRect/>
                    </a:stretch>
                  </pic:blipFill>
                  <pic:spPr>
                    <a:xfrm>
                      <a:off x="0" y="0"/>
                      <a:ext cx="5120640" cy="3200400"/>
                    </a:xfrm>
                    <a:prstGeom prst="rect"/>
                  </pic:spPr>
                </pic:pic>
              </a:graphicData>
            </a:graphic>
          </wp:inline>
        </w:drawing>
      </w:r>
    </w:p>
    <w:p>
      <w:pPr>
        <w:keepNext/>
        <w:spacing w:after="200"/>
        <w:jc w:val="center"/>
      </w:pPr>
      <w:r>
        <w:rPr>
          <w:rFonts w:ascii="Calibri" w:hAnsi="Calibri"/>
          <w:i/>
          <w:color w:val="718096"/>
          <w:sz w:val="18"/>
        </w:rPr>
        <w:t>Figure 1.1: Secure Admin Login Portal with SHA-256 session token verification.</w:t>
      </w:r>
    </w:p>
    <w:p>
      <w:pPr>
        <w:keepNext/>
        <w:spacing w:before="120" w:after="40"/>
        <w:jc w:val="center"/>
      </w:pPr>
      <w:r>
        <w:drawing>
          <wp:inline xmlns:a="http://schemas.openxmlformats.org/drawingml/2006/main" xmlns:pic="http://schemas.openxmlformats.org/drawingml/2006/picture">
            <wp:extent cx="5120640" cy="3291840"/>
            <wp:docPr id="2" name="Picture 2"/>
            <wp:cNvGraphicFramePr>
              <a:graphicFrameLocks noChangeAspect="1"/>
            </wp:cNvGraphicFramePr>
            <a:graphic>
              <a:graphicData uri="http://schemas.openxmlformats.org/drawingml/2006/picture">
                <pic:pic>
                  <pic:nvPicPr>
                    <pic:cNvPr id="0" name="page1_2_live_dashboard.png"/>
                    <pic:cNvPicPr/>
                  </pic:nvPicPr>
                  <pic:blipFill>
                    <a:blip r:embed="rId10"/>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1.2: Live Web Dashboard displaying Real-Time Clock, Active Period Countdown, and Activity Log.</w:t>
      </w:r>
    </w:p>
    <w:p>
      <w:pPr>
        <w:keepNext/>
        <w:spacing w:before="120" w:after="40"/>
        <w:jc w:val="center"/>
      </w:pPr>
      <w:r>
        <w:drawing>
          <wp:inline xmlns:a="http://schemas.openxmlformats.org/drawingml/2006/main" xmlns:pic="http://schemas.openxmlformats.org/drawingml/2006/picture">
            <wp:extent cx="5120640" cy="3040380"/>
            <wp:docPr id="3" name="Picture 3"/>
            <wp:cNvGraphicFramePr>
              <a:graphicFrameLocks noChangeAspect="1"/>
            </wp:cNvGraphicFramePr>
            <a:graphic>
              <a:graphicData uri="http://schemas.openxmlformats.org/drawingml/2006/picture">
                <pic:pic>
                  <pic:nvPicPr>
                    <pic:cNvPr id="0" name="page1_3_dual_simulator_workbench.png"/>
                    <pic:cNvPicPr/>
                  </pic:nvPicPr>
                  <pic:blipFill>
                    <a:blip r:embed="rId11"/>
                    <a:stretch>
                      <a:fillRect/>
                    </a:stretch>
                  </pic:blipFill>
                  <pic:spPr>
                    <a:xfrm>
                      <a:off x="0" y="0"/>
                      <a:ext cx="5120640" cy="3040380"/>
                    </a:xfrm>
                    <a:prstGeom prst="rect"/>
                  </pic:spPr>
                </pic:pic>
              </a:graphicData>
            </a:graphic>
          </wp:inline>
        </w:drawing>
      </w:r>
    </w:p>
    <w:p>
      <w:pPr>
        <w:keepNext/>
        <w:spacing w:after="200"/>
        <w:jc w:val="center"/>
      </w:pPr>
      <w:r>
        <w:rPr>
          <w:rFonts w:ascii="Calibri" w:hAnsi="Calibri"/>
          <w:i/>
          <w:color w:val="718096"/>
          <w:sz w:val="18"/>
        </w:rPr>
        <w:t>Figure 1.3: Dual System Workbench simulating 128x64 Matrix DMA Output and SoftAP Web Portal.</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Captive Portal &amp; Security Verification: </w:t>
      </w:r>
      <w:r>
        <w:rPr>
          <w:rFonts w:ascii="Calibri" w:hAnsi="Calibri"/>
          <w:color w:val="2D3748"/>
          <w:sz w:val="20"/>
        </w:rPr>
        <w:t>When users connect to the ESP32 SoftAP and open http://192.168.4.1, WebServerManager::isAuthenticated() intercepts unauthenticated traffic, redirecting to /login.html. Submitting credentials performs client-side validation and dispatches POST /api/login, issuing an 8-hour session token cookie.</w:t>
      </w:r>
    </w:p>
    <w:p>
      <w:pPr>
        <w:pStyle w:val="ListBullet"/>
        <w:spacing w:after="60" w:line="276" w:lineRule="auto"/>
      </w:pPr>
      <w:r>
        <w:rPr>
          <w:rFonts w:ascii="Calibri" w:hAnsi="Calibri"/>
          <w:b/>
          <w:color w:val="2D3748"/>
          <w:sz w:val="20"/>
        </w:rPr>
        <w:t xml:space="preserve">2. Live 1-Second Telemetry Polling: </w:t>
      </w:r>
      <w:r>
        <w:rPr>
          <w:rFonts w:ascii="Calibri" w:hAnsi="Calibri"/>
          <w:color w:val="2D3748"/>
          <w:sz w:val="20"/>
        </w:rPr>
        <w:t>The dashboard initiates an asynchronous GET /api/status loop every 1,000ms. The response supplies UTC date/time, GPS satellite lock status, active class period metadata, time remaining, and visual progress percentage.</w:t>
      </w:r>
    </w:p>
    <w:p>
      <w:pPr>
        <w:pStyle w:val="ListBullet"/>
        <w:spacing w:after="60" w:line="276" w:lineRule="auto"/>
      </w:pPr>
      <w:r>
        <w:rPr>
          <w:rFonts w:ascii="Calibri" w:hAnsi="Calibri"/>
          <w:b/>
          <w:color w:val="2D3748"/>
          <w:sz w:val="20"/>
        </w:rPr>
        <w:t xml:space="preserve">3. Dynamic Timetable &amp; Activity Tracking: </w:t>
      </w:r>
      <w:r>
        <w:rPr>
          <w:rFonts w:ascii="Calibri" w:hAnsi="Calibri"/>
          <w:color w:val="2D3748"/>
          <w:sz w:val="20"/>
        </w:rPr>
        <w:t>The dashboard evaluates today's periods against local time, assigning Done, In Session, Next, or Pending status pills per row, while streaming the last 20 bell events from the circular activity buffer.</w:t>
      </w:r>
    </w:p>
    <w:p>
      <w:r>
        <w:br w:type="page"/>
      </w:r>
    </w:p>
    <w:p>
      <w:pPr>
        <w:keepNext/>
        <w:spacing w:before="280" w:after="120"/>
      </w:pPr>
      <w:r>
        <w:rPr>
          <w:rFonts w:ascii="Calibri" w:hAnsi="Calibri"/>
          <w:b/>
          <w:color w:val="1A365D"/>
          <w:sz w:val="32"/>
        </w:rPr>
        <w:t>🛰️ Page 2: GPS Synchronization, Real-Time Clock &amp; Matrix Display Process</w:t>
      </w:r>
    </w:p>
    <w:p>
      <w:pPr>
        <w:spacing w:after="120" w:line="276" w:lineRule="auto"/>
      </w:pPr>
      <w:r>
        <w:rPr>
          <w:rFonts w:ascii="Calibri" w:hAnsi="Calibri"/>
          <w:b/>
          <w:color w:val="2D3748"/>
          <w:sz w:val="21"/>
        </w:rPr>
        <w:t xml:space="preserve">Process Overview: </w:t>
      </w:r>
      <w:r>
        <w:rPr>
          <w:rFonts w:ascii="Calibri" w:hAnsi="Calibri"/>
          <w:color w:val="2D3748"/>
          <w:sz w:val="21"/>
        </w:rPr>
        <w:t>Atomic time accuracy is maintained off-grid by continuously parsing NMEA satellite telemetry through hardware UART2, rendering live schedules and clocks onto a high-resolution 128x64 HUB75 RGB LED Matrix via I2S DMA double-buffering.</w:t>
      </w:r>
    </w:p>
    <w:p>
      <w:pPr>
        <w:keepNext/>
        <w:spacing w:before="120" w:after="40"/>
        <w:jc w:val="center"/>
      </w:pPr>
      <w:r>
        <w:drawing>
          <wp:inline xmlns:a="http://schemas.openxmlformats.org/drawingml/2006/main" xmlns:pic="http://schemas.openxmlformats.org/drawingml/2006/picture">
            <wp:extent cx="5120640" cy="3291840"/>
            <wp:docPr id="4" name="Picture 4"/>
            <wp:cNvGraphicFramePr>
              <a:graphicFrameLocks noChangeAspect="1"/>
            </wp:cNvGraphicFramePr>
            <a:graphic>
              <a:graphicData uri="http://schemas.openxmlformats.org/drawingml/2006/picture">
                <pic:pic>
                  <pic:nvPicPr>
                    <pic:cNvPr id="0" name="page2_1_gps_telemetry_status.png"/>
                    <pic:cNvPicPr/>
                  </pic:nvPicPr>
                  <pic:blipFill>
                    <a:blip r:embed="rId12"/>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2.1: GPS Telemetry Panel showing Satellite Lock, HDOP Accuracy, and UTC Timezone.</w:t>
      </w:r>
    </w:p>
    <w:p>
      <w:pPr>
        <w:keepNext/>
        <w:spacing w:before="120" w:after="40"/>
        <w:jc w:val="center"/>
      </w:pPr>
      <w:r>
        <w:drawing>
          <wp:inline xmlns:a="http://schemas.openxmlformats.org/drawingml/2006/main" xmlns:pic="http://schemas.openxmlformats.org/drawingml/2006/picture">
            <wp:extent cx="5120640" cy="3291840"/>
            <wp:docPr id="5" name="Picture 5"/>
            <wp:cNvGraphicFramePr>
              <a:graphicFrameLocks noChangeAspect="1"/>
            </wp:cNvGraphicFramePr>
            <a:graphic>
              <a:graphicData uri="http://schemas.openxmlformats.org/drawingml/2006/picture">
                <pic:pic>
                  <pic:nvPicPr>
                    <pic:cNvPr id="0" name="page2_2_hub75_matrix_display.png"/>
                    <pic:cNvPicPr/>
                  </pic:nvPicPr>
                  <pic:blipFill>
                    <a:blip r:embed="rId13"/>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2.2: 128x64 HUB75 RGB LED Matrix Enclosure with Real-Time Clock and Smooth Marquee Banner.</w:t>
      </w:r>
    </w:p>
    <w:p>
      <w:pPr>
        <w:keepNext/>
        <w:spacing w:before="120" w:after="40"/>
        <w:jc w:val="center"/>
      </w:pPr>
      <w:r>
        <w:drawing>
          <wp:inline xmlns:a="http://schemas.openxmlformats.org/drawingml/2006/main" xmlns:pic="http://schemas.openxmlformats.org/drawingml/2006/picture">
            <wp:extent cx="5120640" cy="3291840"/>
            <wp:docPr id="6" name="Picture 6"/>
            <wp:cNvGraphicFramePr>
              <a:graphicFrameLocks noChangeAspect="1"/>
            </wp:cNvGraphicFramePr>
            <a:graphic>
              <a:graphicData uri="http://schemas.openxmlformats.org/drawingml/2006/picture">
                <pic:pic>
                  <pic:nvPicPr>
                    <pic:cNvPr id="0" name="page2_3_time_sync_calibration.png"/>
                    <pic:cNvPicPr/>
                  </pic:nvPicPr>
                  <pic:blipFill>
                    <a:blip r:embed="rId14"/>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2.3: Manual Browser-to-ESP32 RTC Calibration interface for indoor commissioning.</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Satellite Signal Ingestion &amp; NMEA Engine: </w:t>
      </w:r>
      <w:r>
        <w:rPr>
          <w:rFonts w:ascii="Calibri" w:hAnsi="Calibri"/>
          <w:color w:val="2D3748"/>
          <w:sz w:val="20"/>
        </w:rPr>
        <w:t>A NEO-6M/8M GPS receiver interfaces over GPIO 16 (RX) and GPIO 17 (TX) at 9600 baud. GPSManager parses $GPRMC and $GPGGA sentences with TinyGPSPlus, updating the internal hardware RTC upon receiving valid fixes with low HDOP.</w:t>
      </w:r>
    </w:p>
    <w:p>
      <w:pPr>
        <w:pStyle w:val="ListBullet"/>
        <w:spacing w:after="60" w:line="276" w:lineRule="auto"/>
      </w:pPr>
      <w:r>
        <w:rPr>
          <w:rFonts w:ascii="Calibri" w:hAnsi="Calibri"/>
          <w:b/>
          <w:color w:val="2D3748"/>
          <w:sz w:val="20"/>
        </w:rPr>
        <w:t xml:space="preserve">2. HUB75 I2S DMA Matrix Graphics Pipeline: </w:t>
      </w:r>
      <w:r>
        <w:rPr>
          <w:rFonts w:ascii="Calibri" w:hAnsi="Calibri"/>
          <w:color w:val="2D3748"/>
          <w:sz w:val="20"/>
        </w:rPr>
        <w:t>The 128x64 RGB LED matrix is refreshed at 30+ FPS using ESP32 DMA channels, offloading CPU processing. It displays large digital clock numerals, satellite status dots, and smooth scrolling marquee text for long class names.</w:t>
      </w:r>
    </w:p>
    <w:p>
      <w:pPr>
        <w:pStyle w:val="ListBullet"/>
        <w:spacing w:after="60" w:line="276" w:lineRule="auto"/>
      </w:pPr>
      <w:r>
        <w:rPr>
          <w:rFonts w:ascii="Calibri" w:hAnsi="Calibri"/>
          <w:b/>
          <w:color w:val="2D3748"/>
          <w:sz w:val="20"/>
        </w:rPr>
        <w:t xml:space="preserve">3. Indoor Time Calibration Fallback: </w:t>
      </w:r>
      <w:r>
        <w:rPr>
          <w:rFonts w:ascii="Calibri" w:hAnsi="Calibri"/>
          <w:color w:val="2D3748"/>
          <w:sz w:val="20"/>
        </w:rPr>
        <w:t>During indoor testing or building installations without clear sky visibility, administrators can click 'Sync Clock from Browser Now', which posts the client's UTC epoch timestamp via POST /api/timesync to synchronize the ESP32 RTC immediately.</w:t>
      </w:r>
    </w:p>
    <w:p>
      <w:r>
        <w:br w:type="page"/>
      </w:r>
    </w:p>
    <w:p>
      <w:pPr>
        <w:keepNext/>
        <w:spacing w:before="280" w:after="120"/>
      </w:pPr>
      <w:r>
        <w:rPr>
          <w:rFonts w:ascii="Calibri" w:hAnsi="Calibri"/>
          <w:b/>
          <w:color w:val="1A365D"/>
          <w:sz w:val="32"/>
        </w:rPr>
        <w:t>📅 Page 3: Automated Bell Scheduling &amp; Flash Memory Persistence Process</w:t>
      </w:r>
    </w:p>
    <w:p>
      <w:pPr>
        <w:spacing w:after="120" w:line="276" w:lineRule="auto"/>
      </w:pPr>
      <w:r>
        <w:rPr>
          <w:rFonts w:ascii="Calibri" w:hAnsi="Calibri"/>
          <w:b/>
          <w:color w:val="2D3748"/>
          <w:sz w:val="21"/>
        </w:rPr>
        <w:t xml:space="preserve">Process Overview: </w:t>
      </w:r>
      <w:r>
        <w:rPr>
          <w:rFonts w:ascii="Calibri" w:hAnsi="Calibri"/>
          <w:color w:val="2D3748"/>
          <w:sz w:val="21"/>
        </w:rPr>
        <w:t>School bell schedules are configured through an intuitive weekly timetable editor and stored permanently in non-volatile LittleFS flash memory (/schedules.json), guaranteeing zero data loss during power outages.</w:t>
      </w:r>
    </w:p>
    <w:p>
      <w:pPr>
        <w:keepNext/>
        <w:spacing w:before="120" w:after="40"/>
        <w:jc w:val="center"/>
      </w:pPr>
      <w:r>
        <w:drawing>
          <wp:inline xmlns:a="http://schemas.openxmlformats.org/drawingml/2006/main" xmlns:pic="http://schemas.openxmlformats.org/drawingml/2006/picture">
            <wp:extent cx="5120640" cy="3291840"/>
            <wp:docPr id="7" name="Picture 7"/>
            <wp:cNvGraphicFramePr>
              <a:graphicFrameLocks noChangeAspect="1"/>
            </wp:cNvGraphicFramePr>
            <a:graphic>
              <a:graphicData uri="http://schemas.openxmlformats.org/drawingml/2006/picture">
                <pic:pic>
                  <pic:nvPicPr>
                    <pic:cNvPr id="0" name="page3_1_bell_schedule_timetable.png"/>
                    <pic:cNvPicPr/>
                  </pic:nvPicPr>
                  <pic:blipFill>
                    <a:blip r:embed="rId15"/>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3.1: Weekly Timetable Configuration Table with Period Start, End &amp; Ring Triggers.</w:t>
      </w:r>
    </w:p>
    <w:p>
      <w:pPr>
        <w:keepNext/>
        <w:spacing w:before="120" w:after="40"/>
        <w:jc w:val="center"/>
      </w:pPr>
      <w:r>
        <w:drawing>
          <wp:inline xmlns:a="http://schemas.openxmlformats.org/drawingml/2006/main" xmlns:pic="http://schemas.openxmlformats.org/drawingml/2006/picture">
            <wp:extent cx="5120640" cy="3291840"/>
            <wp:docPr id="8" name="Picture 8"/>
            <wp:cNvGraphicFramePr>
              <a:graphicFrameLocks noChangeAspect="1"/>
            </wp:cNvGraphicFramePr>
            <a:graphic>
              <a:graphicData uri="http://schemas.openxmlformats.org/drawingml/2006/picture">
                <pic:pic>
                  <pic:nvPicPr>
                    <pic:cNvPr id="0" name="page3_2_schedule_editor_add.png"/>
                    <pic:cNvPicPr/>
                  </pic:nvPicPr>
                  <pic:blipFill>
                    <a:blip r:embed="rId16"/>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3.2: Period Creation Form validating Subject Name, recurrence days, and time ranges.</w:t>
      </w:r>
    </w:p>
    <w:p>
      <w:pPr>
        <w:keepNext/>
        <w:spacing w:before="120" w:after="40"/>
        <w:jc w:val="center"/>
      </w:pPr>
      <w:r>
        <w:drawing>
          <wp:inline xmlns:a="http://schemas.openxmlformats.org/drawingml/2006/main" xmlns:pic="http://schemas.openxmlformats.org/drawingml/2006/picture">
            <wp:extent cx="5120640" cy="3291840"/>
            <wp:docPr id="9" name="Picture 9"/>
            <wp:cNvGraphicFramePr>
              <a:graphicFrameLocks noChangeAspect="1"/>
            </wp:cNvGraphicFramePr>
            <a:graphic>
              <a:graphicData uri="http://schemas.openxmlformats.org/drawingml/2006/picture">
                <pic:pic>
                  <pic:nvPicPr>
                    <pic:cNvPr id="0" name="page3_3_flash_persistence_storage.png"/>
                    <pic:cNvPicPr/>
                  </pic:nvPicPr>
                  <pic:blipFill>
                    <a:blip r:embed="rId17"/>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3.3: LittleFS Non-Volatile Flash Persistence with visual confirmation toast.</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Timetable Period Configuration: </w:t>
      </w:r>
      <w:r>
        <w:rPr>
          <w:rFonts w:ascii="Calibri" w:hAnsi="Calibri"/>
          <w:color w:val="2D3748"/>
          <w:sz w:val="20"/>
        </w:rPr>
        <w:t>Each period entry supports day filters (Mon-Fri Weekdays, Everyday, or individual days), 24-hour Start and End times, Custom Subject Titles (up to 30 characters), and independent Ring Start and Ring End triggers.</w:t>
      </w:r>
    </w:p>
    <w:p>
      <w:pPr>
        <w:pStyle w:val="ListBullet"/>
        <w:spacing w:after="60" w:line="276" w:lineRule="auto"/>
      </w:pPr>
      <w:r>
        <w:rPr>
          <w:rFonts w:ascii="Calibri" w:hAnsi="Calibri"/>
          <w:b/>
          <w:color w:val="2D3748"/>
          <w:sz w:val="20"/>
        </w:rPr>
        <w:t xml:space="preserve">2. Comprehensive Form Validation: </w:t>
      </w:r>
      <w:r>
        <w:rPr>
          <w:rFonts w:ascii="Calibri" w:hAnsi="Calibri"/>
          <w:color w:val="2D3748"/>
          <w:sz w:val="20"/>
        </w:rPr>
        <w:t>Both client-side JavaScript (app.js) and firmware C++ (ScheduleManager.cpp) enforce strict data validation: empty subject names and invalid time spans (where end time &lt;= start time) are rejected with descriptive alerts.</w:t>
      </w:r>
    </w:p>
    <w:p>
      <w:pPr>
        <w:pStyle w:val="ListBullet"/>
        <w:spacing w:after="60" w:line="276" w:lineRule="auto"/>
      </w:pPr>
      <w:r>
        <w:rPr>
          <w:rFonts w:ascii="Calibri" w:hAnsi="Calibri"/>
          <w:b/>
          <w:color w:val="2D3748"/>
          <w:sz w:val="20"/>
        </w:rPr>
        <w:t xml:space="preserve">3. LittleFS Flash Memory Serialization: </w:t>
      </w:r>
      <w:r>
        <w:rPr>
          <w:rFonts w:ascii="Calibri" w:hAnsi="Calibri"/>
          <w:color w:val="2D3748"/>
          <w:sz w:val="20"/>
        </w:rPr>
        <w:t>When saving, the timetable is converted into JSON using ArduinoJson v7 and committed to /schedules.json on the internal flash partition. Schedules are automatically restored upon every boot cycle.</w:t>
      </w:r>
    </w:p>
    <w:p>
      <w:r>
        <w:br w:type="page"/>
      </w:r>
    </w:p>
    <w:p>
      <w:pPr>
        <w:keepNext/>
        <w:spacing w:before="280" w:after="120"/>
      </w:pPr>
      <w:r>
        <w:rPr>
          <w:rFonts w:ascii="Calibri" w:hAnsi="Calibri"/>
          <w:b/>
          <w:color w:val="1A365D"/>
          <w:sz w:val="32"/>
        </w:rPr>
        <w:t>🔔 Page 4: Automated &amp; Manual Bell Actuation &amp; Relay Hardware Process</w:t>
      </w:r>
    </w:p>
    <w:p>
      <w:pPr>
        <w:spacing w:after="120" w:line="276" w:lineRule="auto"/>
      </w:pPr>
      <w:r>
        <w:rPr>
          <w:rFonts w:ascii="Calibri" w:hAnsi="Calibri"/>
          <w:b/>
          <w:color w:val="2D3748"/>
          <w:sz w:val="21"/>
        </w:rPr>
        <w:t xml:space="preserve">Process Overview: </w:t>
      </w:r>
      <w:r>
        <w:rPr>
          <w:rFonts w:ascii="Calibri" w:hAnsi="Calibri"/>
          <w:color w:val="2D3748"/>
          <w:sz w:val="21"/>
        </w:rPr>
        <w:t>Bell ringing is actuated via an optocoupler-isolated relay module connected to high-decibel AC or DC school bells. The system provides automated timetable triggering, manual web triggers, front-panel push button override, and instant emergency stop.</w:t>
      </w:r>
    </w:p>
    <w:p>
      <w:pPr>
        <w:keepNext/>
        <w:spacing w:before="120" w:after="40"/>
        <w:jc w:val="center"/>
      </w:pPr>
      <w:r>
        <w:drawing>
          <wp:inline xmlns:a="http://schemas.openxmlformats.org/drawingml/2006/main" xmlns:pic="http://schemas.openxmlformats.org/drawingml/2006/picture">
            <wp:extent cx="5120640" cy="3291840"/>
            <wp:docPr id="10" name="Picture 10"/>
            <wp:cNvGraphicFramePr>
              <a:graphicFrameLocks noChangeAspect="1"/>
            </wp:cNvGraphicFramePr>
            <a:graphic>
              <a:graphicData uri="http://schemas.openxmlformats.org/drawingml/2006/picture">
                <pic:pic>
                  <pic:nvPicPr>
                    <pic:cNvPr id="0" name="page4_1_manual_bell_control.png"/>
                    <pic:cNvPicPr/>
                  </pic:nvPicPr>
                  <pic:blipFill>
                    <a:blip r:embed="rId18"/>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4.1: Manual Bell Control Interface with Single 5s Ring Trigger and Emergency Stop.</w:t>
      </w:r>
    </w:p>
    <w:p>
      <w:pPr>
        <w:keepNext/>
        <w:spacing w:before="120" w:after="40"/>
        <w:jc w:val="center"/>
      </w:pPr>
      <w:r>
        <w:drawing>
          <wp:inline xmlns:a="http://schemas.openxmlformats.org/drawingml/2006/main" xmlns:pic="http://schemas.openxmlformats.org/drawingml/2006/picture">
            <wp:extent cx="5120640" cy="3291840"/>
            <wp:docPr id="11" name="Picture 11"/>
            <wp:cNvGraphicFramePr>
              <a:graphicFrameLocks noChangeAspect="1"/>
            </wp:cNvGraphicFramePr>
            <a:graphic>
              <a:graphicData uri="http://schemas.openxmlformats.org/drawingml/2006/picture">
                <pic:pic>
                  <pic:nvPicPr>
                    <pic:cNvPr id="0" name="page4_2_active_ringing_emergency_stop.png"/>
                    <pic:cNvPicPr/>
                  </pic:nvPicPr>
                  <pic:blipFill>
                    <a:blip r:embed="rId19"/>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4.2: Active Ringing Banner Alert with animated indicator and one-click Emergency Stop.</w:t>
      </w:r>
    </w:p>
    <w:p>
      <w:pPr>
        <w:keepNext/>
        <w:spacing w:before="120" w:after="40"/>
        <w:jc w:val="center"/>
      </w:pPr>
      <w:r>
        <w:drawing>
          <wp:inline xmlns:a="http://schemas.openxmlformats.org/drawingml/2006/main" xmlns:pic="http://schemas.openxmlformats.org/drawingml/2006/picture">
            <wp:extent cx="5120640" cy="3291840"/>
            <wp:docPr id="12" name="Picture 12"/>
            <wp:cNvGraphicFramePr>
              <a:graphicFrameLocks noChangeAspect="1"/>
            </wp:cNvGraphicFramePr>
            <a:graphic>
              <a:graphicData uri="http://schemas.openxmlformats.org/drawingml/2006/picture">
                <pic:pic>
                  <pic:nvPicPr>
                    <pic:cNvPr id="0" name="page4_3_relay_coil_hammer_hardware.png"/>
                    <pic:cNvPicPr/>
                  </pic:nvPicPr>
                  <pic:blipFill>
                    <a:blip r:embed="rId20"/>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4.3: Relay Actuator Module Energization, Relay Status LED, and Mechanical Bell Gong.</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Automated Schedule Execution: </w:t>
      </w:r>
      <w:r>
        <w:rPr>
          <w:rFonts w:ascii="Calibri" w:hAnsi="Calibri"/>
          <w:color w:val="2D3748"/>
          <w:sz w:val="20"/>
        </w:rPr>
        <w:t>ScheduleManager::update() continuously evaluates the current second against configured periods. When a match occurs, it invokes RelayManager::ring(), driving GPIO 22 HIGH for a precise 5-second pulse unless Holiday Mode is active.</w:t>
      </w:r>
    </w:p>
    <w:p>
      <w:pPr>
        <w:pStyle w:val="ListBullet"/>
        <w:spacing w:after="60" w:line="276" w:lineRule="auto"/>
      </w:pPr>
      <w:r>
        <w:rPr>
          <w:rFonts w:ascii="Calibri" w:hAnsi="Calibri"/>
          <w:b/>
          <w:color w:val="2D3748"/>
          <w:sz w:val="20"/>
        </w:rPr>
        <w:t xml:space="preserve">2. Multi-Source Manual Triggering: </w:t>
      </w:r>
      <w:r>
        <w:rPr>
          <w:rFonts w:ascii="Calibri" w:hAnsi="Calibri"/>
          <w:color w:val="2D3748"/>
          <w:sz w:val="20"/>
        </w:rPr>
        <w:t>Manual rings can be actuated from the Web Portal ('Trigger Bell (5s)', sending POST /api/ring) or by pressing the physical front-panel button wired to GPIO 21 with software debounce protection.</w:t>
      </w:r>
    </w:p>
    <w:p>
      <w:pPr>
        <w:pStyle w:val="ListBullet"/>
        <w:spacing w:after="60" w:line="276" w:lineRule="auto"/>
      </w:pPr>
      <w:r>
        <w:rPr>
          <w:rFonts w:ascii="Calibri" w:hAnsi="Calibri"/>
          <w:b/>
          <w:color w:val="2D3748"/>
          <w:sz w:val="20"/>
        </w:rPr>
        <w:t xml:space="preserve">3. Isolated Relay Switching &amp; Emergency Abort: </w:t>
      </w:r>
      <w:r>
        <w:rPr>
          <w:rFonts w:ascii="Calibri" w:hAnsi="Calibri"/>
          <w:color w:val="2D3748"/>
          <w:sz w:val="20"/>
        </w:rPr>
        <w:t>The relay circuit electrically isolates the ESP32 3.3V logic from 220V/110V AC or 12V DC bell power lines. Clicking 'Emergency Bell Stop' (POST /api/stop) forces GPIO 22 LOW immediately, aborting any active ring.</w:t>
      </w:r>
    </w:p>
    <w:p>
      <w:r>
        <w:br w:type="page"/>
      </w:r>
    </w:p>
    <w:p>
      <w:pPr>
        <w:keepNext/>
        <w:spacing w:before="280" w:after="120"/>
      </w:pPr>
      <w:r>
        <w:rPr>
          <w:rFonts w:ascii="Calibri" w:hAnsi="Calibri"/>
          <w:b/>
          <w:color w:val="1A365D"/>
          <w:sz w:val="32"/>
        </w:rPr>
        <w:t>☀️ Page 5: Solar Power Monitoring, System Settings &amp; Security Process</w:t>
      </w:r>
    </w:p>
    <w:p>
      <w:pPr>
        <w:spacing w:after="120" w:line="276" w:lineRule="auto"/>
      </w:pPr>
      <w:r>
        <w:rPr>
          <w:rFonts w:ascii="Calibri" w:hAnsi="Calibri"/>
          <w:b/>
          <w:color w:val="2D3748"/>
          <w:sz w:val="21"/>
        </w:rPr>
        <w:t xml:space="preserve">Process Overview: </w:t>
      </w:r>
      <w:r>
        <w:rPr>
          <w:rFonts w:ascii="Calibri" w:hAnsi="Calibri"/>
          <w:color w:val="2D3748"/>
          <w:sz w:val="21"/>
        </w:rPr>
        <w:t>The system includes dedicated interfaces for Solar Battery telemetry monitoring, global UTC timezone configuration, LED matrix brightness PWM scaling, Holiday Mode muting, and administrator credential management.</w:t>
      </w:r>
    </w:p>
    <w:p>
      <w:pPr>
        <w:keepNext/>
        <w:spacing w:before="120" w:after="40"/>
        <w:jc w:val="center"/>
      </w:pPr>
      <w:r>
        <w:drawing>
          <wp:inline xmlns:a="http://schemas.openxmlformats.org/drawingml/2006/main" xmlns:pic="http://schemas.openxmlformats.org/drawingml/2006/picture">
            <wp:extent cx="5120640" cy="3291840"/>
            <wp:docPr id="13" name="Picture 13"/>
            <wp:cNvGraphicFramePr>
              <a:graphicFrameLocks noChangeAspect="1"/>
            </wp:cNvGraphicFramePr>
            <a:graphic>
              <a:graphicData uri="http://schemas.openxmlformats.org/drawingml/2006/picture">
                <pic:pic>
                  <pic:nvPicPr>
                    <pic:cNvPr id="0" name="page5_1_solar_power_telemetry.png"/>
                    <pic:cNvPicPr/>
                  </pic:nvPicPr>
                  <pic:blipFill>
                    <a:blip r:embed="rId21"/>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5.1: Solar Power Telemetry Panel displaying Solar Charging State, Battery Level %, and Voltage.</w:t>
      </w:r>
    </w:p>
    <w:p>
      <w:pPr>
        <w:keepNext/>
        <w:spacing w:before="120" w:after="40"/>
        <w:jc w:val="center"/>
      </w:pPr>
      <w:r>
        <w:drawing>
          <wp:inline xmlns:a="http://schemas.openxmlformats.org/drawingml/2006/main" xmlns:pic="http://schemas.openxmlformats.org/drawingml/2006/picture">
            <wp:extent cx="5120640" cy="3291840"/>
            <wp:docPr id="14" name="Picture 14"/>
            <wp:cNvGraphicFramePr>
              <a:graphicFrameLocks noChangeAspect="1"/>
            </wp:cNvGraphicFramePr>
            <a:graphic>
              <a:graphicData uri="http://schemas.openxmlformats.org/drawingml/2006/picture">
                <pic:pic>
                  <pic:nvPicPr>
                    <pic:cNvPr id="0" name="page5_2_system_settings_configuration.png"/>
                    <pic:cNvPicPr/>
                  </pic:nvPicPr>
                  <pic:blipFill>
                    <a:blip r:embed="rId22"/>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5.2: System Settings Panel for UTC Timezone Offset, HUB75 Brightness &amp; Holiday Mode.</w:t>
      </w:r>
    </w:p>
    <w:p>
      <w:pPr>
        <w:keepNext/>
        <w:spacing w:before="120" w:after="40"/>
        <w:jc w:val="center"/>
      </w:pPr>
      <w:r>
        <w:drawing>
          <wp:inline xmlns:a="http://schemas.openxmlformats.org/drawingml/2006/main" xmlns:pic="http://schemas.openxmlformats.org/drawingml/2006/picture">
            <wp:extent cx="5120640" cy="3291840"/>
            <wp:docPr id="15" name="Picture 15"/>
            <wp:cNvGraphicFramePr>
              <a:graphicFrameLocks noChangeAspect="1"/>
            </wp:cNvGraphicFramePr>
            <a:graphic>
              <a:graphicData uri="http://schemas.openxmlformats.org/drawingml/2006/picture">
                <pic:pic>
                  <pic:nvPicPr>
                    <pic:cNvPr id="0" name="page5_3_admin_credentials_security.png"/>
                    <pic:cNvPicPr/>
                  </pic:nvPicPr>
                  <pic:blipFill>
                    <a:blip r:embed="rId23"/>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5.3: Administrator Credential Security Management for username and password updates.</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Solar Power &amp; Battery Telemetry: </w:t>
      </w:r>
      <w:r>
        <w:rPr>
          <w:rFonts w:ascii="Calibri" w:hAnsi="Calibri"/>
          <w:color w:val="2D3748"/>
          <w:sz w:val="20"/>
        </w:rPr>
        <w:t>The Solar Monitor displays solar panel charging state, estimated battery capacity percentage (e.g., 78%), and 12V lead-acid terminal voltage (12.4V), providing off-grid operational awareness.</w:t>
      </w:r>
    </w:p>
    <w:p>
      <w:pPr>
        <w:pStyle w:val="ListBullet"/>
        <w:spacing w:after="60" w:line="276" w:lineRule="auto"/>
      </w:pPr>
      <w:r>
        <w:rPr>
          <w:rFonts w:ascii="Calibri" w:hAnsi="Calibri"/>
          <w:b/>
          <w:color w:val="2D3748"/>
          <w:sz w:val="20"/>
        </w:rPr>
        <w:t xml:space="preserve">2. Timezone Offset &amp; LED Brightness Control: </w:t>
      </w:r>
      <w:r>
        <w:rPr>
          <w:rFonts w:ascii="Calibri" w:hAnsi="Calibri"/>
          <w:color w:val="2D3748"/>
          <w:sz w:val="20"/>
        </w:rPr>
        <w:t>Admins can select local UTC offsets (e.g., UTC +8:00 for Manila/Singapore/Perth, UTC +7:00 for Jakarta/Bangkok). The matrix brightness slider (10 to 255) dynamically regulates display PWM for optimal day/night visibility.</w:t>
      </w:r>
    </w:p>
    <w:p>
      <w:pPr>
        <w:pStyle w:val="ListBullet"/>
        <w:spacing w:after="60" w:line="276" w:lineRule="auto"/>
      </w:pPr>
      <w:r>
        <w:rPr>
          <w:rFonts w:ascii="Calibri" w:hAnsi="Calibri"/>
          <w:b/>
          <w:color w:val="2D3748"/>
          <w:sz w:val="20"/>
        </w:rPr>
        <w:t xml:space="preserve">3. Holiday Mode &amp; Credential Hashing: </w:t>
      </w:r>
      <w:r>
        <w:rPr>
          <w:rFonts w:ascii="Calibri" w:hAnsi="Calibri"/>
          <w:color w:val="2D3748"/>
          <w:sz w:val="20"/>
        </w:rPr>
        <w:t>Enabling Holiday Mode mutes all automated timetable rings during school vacations while preserving the digital clock. The Admin Login Credentials card allows updating credentials with SHA-256 verification stored in /config.json.</w:t>
      </w:r>
    </w:p>
    <w:p>
      <w:r>
        <w:br w:type="page"/>
      </w:r>
    </w:p>
    <w:p>
      <w:pPr>
        <w:keepNext/>
        <w:spacing w:before="280" w:after="120"/>
      </w:pPr>
      <w:r>
        <w:rPr>
          <w:rFonts w:ascii="Calibri" w:hAnsi="Calibri"/>
          <w:b/>
          <w:color w:val="1A365D"/>
          <w:sz w:val="32"/>
        </w:rPr>
        <w:t>🔌 System Hardware Pinout &amp; Architecture Summary</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Mar>
              <w:top w:w="80" w:type="dxa"/>
              <w:bottom w:w="80" w:type="dxa"/>
              <w:left w:w="100" w:type="dxa"/>
              <w:right w:w="100" w:type="dxa"/>
            </w:tcMar>
          </w:tcPr>
          <w:p>
            <w:r>
              <w:rPr>
                <w:rFonts w:ascii="Calibri" w:hAnsi="Calibri"/>
                <w:b/>
                <w:color w:val="FFFFFF"/>
                <w:sz w:val="19"/>
              </w:rPr>
              <w:t>Hardware Subsystem</w:t>
            </w:r>
          </w:p>
        </w:tc>
        <w:tc>
          <w:tcPr>
            <w:tcW w:type="dxa" w:w="2520"/>
            <w:shd w:fill="1A365D"/>
            <w:tcMar>
              <w:top w:w="80" w:type="dxa"/>
              <w:bottom w:w="80" w:type="dxa"/>
              <w:left w:w="100" w:type="dxa"/>
              <w:right w:w="100" w:type="dxa"/>
            </w:tcMar>
          </w:tcPr>
          <w:p>
            <w:r>
              <w:rPr>
                <w:rFonts w:ascii="Calibri" w:hAnsi="Calibri"/>
                <w:b/>
                <w:color w:val="FFFFFF"/>
                <w:sz w:val="19"/>
              </w:rPr>
              <w:t>ESP32 GPIO Pin</w:t>
            </w:r>
          </w:p>
        </w:tc>
        <w:tc>
          <w:tcPr>
            <w:tcW w:type="dxa" w:w="2520"/>
            <w:shd w:fill="1A365D"/>
            <w:tcMar>
              <w:top w:w="80" w:type="dxa"/>
              <w:bottom w:w="80" w:type="dxa"/>
              <w:left w:w="100" w:type="dxa"/>
              <w:right w:w="100" w:type="dxa"/>
            </w:tcMar>
          </w:tcPr>
          <w:p>
            <w:r>
              <w:rPr>
                <w:rFonts w:ascii="Calibri" w:hAnsi="Calibri"/>
                <w:b/>
                <w:color w:val="FFFFFF"/>
                <w:sz w:val="19"/>
              </w:rPr>
              <w:t>Signal / Function</w:t>
            </w:r>
          </w:p>
        </w:tc>
        <w:tc>
          <w:tcPr>
            <w:tcW w:type="dxa" w:w="2520"/>
            <w:shd w:fill="1A365D"/>
            <w:tcMar>
              <w:top w:w="80" w:type="dxa"/>
              <w:bottom w:w="80" w:type="dxa"/>
              <w:left w:w="100" w:type="dxa"/>
              <w:right w:w="100" w:type="dxa"/>
            </w:tcMar>
          </w:tcPr>
          <w:p>
            <w:r>
              <w:rPr>
                <w:rFonts w:ascii="Calibri" w:hAnsi="Calibri"/>
                <w:b/>
                <w:color w:val="FFFFFF"/>
                <w:sz w:val="19"/>
              </w:rPr>
              <w:t>Operating Voltage</w:t>
            </w:r>
          </w:p>
        </w:tc>
      </w:tr>
      <w:tr>
        <w:tc>
          <w:tcPr>
            <w:tcW w:type="dxa" w:w="2520"/>
            <w:shd w:fill="F7FAFC"/>
            <w:tcMar>
              <w:top w:w="60" w:type="dxa"/>
              <w:bottom w:w="60" w:type="dxa"/>
              <w:left w:w="100" w:type="dxa"/>
              <w:right w:w="100" w:type="dxa"/>
            </w:tcMar>
          </w:tcPr>
          <w:p>
            <w:r>
              <w:rPr>
                <w:rFonts w:ascii="Calibri" w:hAnsi="Calibri"/>
                <w:color w:val="2D3748"/>
                <w:sz w:val="18"/>
              </w:rPr>
              <w:t>NEO-6M/8M GPS Module</w:t>
            </w:r>
          </w:p>
        </w:tc>
        <w:tc>
          <w:tcPr>
            <w:tcW w:type="dxa" w:w="2520"/>
            <w:shd w:fill="F7FAFC"/>
            <w:tcMar>
              <w:top w:w="60" w:type="dxa"/>
              <w:bottom w:w="60" w:type="dxa"/>
              <w:left w:w="100" w:type="dxa"/>
              <w:right w:w="100" w:type="dxa"/>
            </w:tcMar>
          </w:tcPr>
          <w:p>
            <w:r>
              <w:rPr>
                <w:rFonts w:ascii="Calibri" w:hAnsi="Calibri"/>
                <w:color w:val="2D3748"/>
                <w:sz w:val="18"/>
              </w:rPr>
              <w:t>GPIO 16</w:t>
            </w:r>
          </w:p>
        </w:tc>
        <w:tc>
          <w:tcPr>
            <w:tcW w:type="dxa" w:w="2520"/>
            <w:shd w:fill="F7FAFC"/>
            <w:tcMar>
              <w:top w:w="60" w:type="dxa"/>
              <w:bottom w:w="60" w:type="dxa"/>
              <w:left w:w="100" w:type="dxa"/>
              <w:right w:w="100" w:type="dxa"/>
            </w:tcMar>
          </w:tcPr>
          <w:p>
            <w:r>
              <w:rPr>
                <w:rFonts w:ascii="Calibri" w:hAnsi="Calibri"/>
                <w:color w:val="2D3748"/>
                <w:sz w:val="18"/>
              </w:rPr>
              <w:t>RX2 (Connects to GPS TX)</w:t>
            </w:r>
          </w:p>
        </w:tc>
        <w:tc>
          <w:tcPr>
            <w:tcW w:type="dxa" w:w="2520"/>
            <w:shd w:fill="F7FAFC"/>
            <w:tcMar>
              <w:top w:w="60" w:type="dxa"/>
              <w:bottom w:w="60" w:type="dxa"/>
              <w:left w:w="100" w:type="dxa"/>
              <w:right w:w="100" w:type="dxa"/>
            </w:tcMar>
          </w:tcPr>
          <w:p>
            <w:r>
              <w:rPr>
                <w:rFonts w:ascii="Calibri" w:hAnsi="Calibri"/>
                <w:color w:val="2D3748"/>
                <w:sz w:val="18"/>
              </w:rPr>
              <w:t>3.3V / 5V VCC</w:t>
            </w:r>
          </w:p>
        </w:tc>
      </w:tr>
      <w:tr>
        <w:tc>
          <w:tcPr>
            <w:tcW w:type="dxa" w:w="2520"/>
            <w:shd w:fill="FFFFFF"/>
            <w:tcMar>
              <w:top w:w="60" w:type="dxa"/>
              <w:bottom w:w="60" w:type="dxa"/>
              <w:left w:w="100" w:type="dxa"/>
              <w:right w:w="100" w:type="dxa"/>
            </w:tcMar>
          </w:tcPr>
          <w:p>
            <w:r>
              <w:rPr>
                <w:rFonts w:ascii="Calibri" w:hAnsi="Calibri"/>
                <w:color w:val="2D3748"/>
                <w:sz w:val="18"/>
              </w:rPr>
              <w:t>NEO-6M/8M GPS Module</w:t>
            </w:r>
          </w:p>
        </w:tc>
        <w:tc>
          <w:tcPr>
            <w:tcW w:type="dxa" w:w="2520"/>
            <w:shd w:fill="FFFFFF"/>
            <w:tcMar>
              <w:top w:w="60" w:type="dxa"/>
              <w:bottom w:w="60" w:type="dxa"/>
              <w:left w:w="100" w:type="dxa"/>
              <w:right w:w="100" w:type="dxa"/>
            </w:tcMar>
          </w:tcPr>
          <w:p>
            <w:r>
              <w:rPr>
                <w:rFonts w:ascii="Calibri" w:hAnsi="Calibri"/>
                <w:color w:val="2D3748"/>
                <w:sz w:val="18"/>
              </w:rPr>
              <w:t>GPIO 17</w:t>
            </w:r>
          </w:p>
        </w:tc>
        <w:tc>
          <w:tcPr>
            <w:tcW w:type="dxa" w:w="2520"/>
            <w:shd w:fill="FFFFFF"/>
            <w:tcMar>
              <w:top w:w="60" w:type="dxa"/>
              <w:bottom w:w="60" w:type="dxa"/>
              <w:left w:w="100" w:type="dxa"/>
              <w:right w:w="100" w:type="dxa"/>
            </w:tcMar>
          </w:tcPr>
          <w:p>
            <w:r>
              <w:rPr>
                <w:rFonts w:ascii="Calibri" w:hAnsi="Calibri"/>
                <w:color w:val="2D3748"/>
                <w:sz w:val="18"/>
              </w:rPr>
              <w:t>TX2 (Connects to GPS RX)</w:t>
            </w:r>
          </w:p>
        </w:tc>
        <w:tc>
          <w:tcPr>
            <w:tcW w:type="dxa" w:w="2520"/>
            <w:shd w:fill="FFFFFF"/>
            <w:tcMar>
              <w:top w:w="60" w:type="dxa"/>
              <w:bottom w:w="60" w:type="dxa"/>
              <w:left w:w="100" w:type="dxa"/>
              <w:right w:w="100" w:type="dxa"/>
            </w:tcMar>
          </w:tcPr>
          <w:p>
            <w:r>
              <w:rPr>
                <w:rFonts w:ascii="Calibri" w:hAnsi="Calibri"/>
                <w:color w:val="2D3748"/>
                <w:sz w:val="18"/>
              </w:rPr>
              <w:t>3.3V / 5V VCC</w:t>
            </w:r>
          </w:p>
        </w:tc>
      </w:tr>
      <w:tr>
        <w:tc>
          <w:tcPr>
            <w:tcW w:type="dxa" w:w="2520"/>
            <w:shd w:fill="F7FAFC"/>
            <w:tcMar>
              <w:top w:w="60" w:type="dxa"/>
              <w:bottom w:w="60" w:type="dxa"/>
              <w:left w:w="100" w:type="dxa"/>
              <w:right w:w="100" w:type="dxa"/>
            </w:tcMar>
          </w:tcPr>
          <w:p>
            <w:r>
              <w:rPr>
                <w:rFonts w:ascii="Calibri" w:hAnsi="Calibri"/>
                <w:color w:val="2D3748"/>
                <w:sz w:val="18"/>
              </w:rPr>
              <w:t>Relay Actuator Module</w:t>
            </w:r>
          </w:p>
        </w:tc>
        <w:tc>
          <w:tcPr>
            <w:tcW w:type="dxa" w:w="2520"/>
            <w:shd w:fill="F7FAFC"/>
            <w:tcMar>
              <w:top w:w="60" w:type="dxa"/>
              <w:bottom w:w="60" w:type="dxa"/>
              <w:left w:w="100" w:type="dxa"/>
              <w:right w:w="100" w:type="dxa"/>
            </w:tcMar>
          </w:tcPr>
          <w:p>
            <w:r>
              <w:rPr>
                <w:rFonts w:ascii="Calibri" w:hAnsi="Calibri"/>
                <w:color w:val="2D3748"/>
                <w:sz w:val="18"/>
              </w:rPr>
              <w:t>GPIO 22</w:t>
            </w:r>
          </w:p>
        </w:tc>
        <w:tc>
          <w:tcPr>
            <w:tcW w:type="dxa" w:w="2520"/>
            <w:shd w:fill="F7FAFC"/>
            <w:tcMar>
              <w:top w:w="60" w:type="dxa"/>
              <w:bottom w:w="60" w:type="dxa"/>
              <w:left w:w="100" w:type="dxa"/>
              <w:right w:w="100" w:type="dxa"/>
            </w:tcMar>
          </w:tcPr>
          <w:p>
            <w:r>
              <w:rPr>
                <w:rFonts w:ascii="Calibri" w:hAnsi="Calibri"/>
                <w:color w:val="2D3748"/>
                <w:sz w:val="18"/>
              </w:rPr>
              <w:t>Digital Output (Relay Control)</w:t>
            </w:r>
          </w:p>
        </w:tc>
        <w:tc>
          <w:tcPr>
            <w:tcW w:type="dxa" w:w="2520"/>
            <w:shd w:fill="F7FAFC"/>
            <w:tcMar>
              <w:top w:w="60" w:type="dxa"/>
              <w:bottom w:w="60" w:type="dxa"/>
              <w:left w:w="100" w:type="dxa"/>
              <w:right w:w="100" w:type="dxa"/>
            </w:tcMar>
          </w:tcPr>
          <w:p>
            <w:r>
              <w:rPr>
                <w:rFonts w:ascii="Calibri" w:hAnsi="Calibri"/>
                <w:color w:val="2D3748"/>
                <w:sz w:val="18"/>
              </w:rPr>
              <w:t>5V VCC / 3.3V Logic</w:t>
            </w:r>
          </w:p>
        </w:tc>
      </w:tr>
      <w:tr>
        <w:tc>
          <w:tcPr>
            <w:tcW w:type="dxa" w:w="2520"/>
            <w:shd w:fill="FFFFFF"/>
            <w:tcMar>
              <w:top w:w="60" w:type="dxa"/>
              <w:bottom w:w="60" w:type="dxa"/>
              <w:left w:w="100" w:type="dxa"/>
              <w:right w:w="100" w:type="dxa"/>
            </w:tcMar>
          </w:tcPr>
          <w:p>
            <w:r>
              <w:rPr>
                <w:rFonts w:ascii="Calibri" w:hAnsi="Calibri"/>
                <w:color w:val="2D3748"/>
                <w:sz w:val="18"/>
              </w:rPr>
              <w:t>Manual Push Button</w:t>
            </w:r>
          </w:p>
        </w:tc>
        <w:tc>
          <w:tcPr>
            <w:tcW w:type="dxa" w:w="2520"/>
            <w:shd w:fill="FFFFFF"/>
            <w:tcMar>
              <w:top w:w="60" w:type="dxa"/>
              <w:bottom w:w="60" w:type="dxa"/>
              <w:left w:w="100" w:type="dxa"/>
              <w:right w:w="100" w:type="dxa"/>
            </w:tcMar>
          </w:tcPr>
          <w:p>
            <w:r>
              <w:rPr>
                <w:rFonts w:ascii="Calibri" w:hAnsi="Calibri"/>
                <w:color w:val="2D3748"/>
                <w:sz w:val="18"/>
              </w:rPr>
              <w:t>GPIO 21</w:t>
            </w:r>
          </w:p>
        </w:tc>
        <w:tc>
          <w:tcPr>
            <w:tcW w:type="dxa" w:w="2520"/>
            <w:shd w:fill="FFFFFF"/>
            <w:tcMar>
              <w:top w:w="60" w:type="dxa"/>
              <w:bottom w:w="60" w:type="dxa"/>
              <w:left w:w="100" w:type="dxa"/>
              <w:right w:w="100" w:type="dxa"/>
            </w:tcMar>
          </w:tcPr>
          <w:p>
            <w:r>
              <w:rPr>
                <w:rFonts w:ascii="Calibri" w:hAnsi="Calibri"/>
                <w:color w:val="2D3748"/>
                <w:sz w:val="18"/>
              </w:rPr>
              <w:t>Digital Input (Active LOW Pull-up)</w:t>
            </w:r>
          </w:p>
        </w:tc>
        <w:tc>
          <w:tcPr>
            <w:tcW w:type="dxa" w:w="2520"/>
            <w:shd w:fill="FFFFFF"/>
            <w:tcMar>
              <w:top w:w="60" w:type="dxa"/>
              <w:bottom w:w="60" w:type="dxa"/>
              <w:left w:w="100" w:type="dxa"/>
              <w:right w:w="100" w:type="dxa"/>
            </w:tcMar>
          </w:tcPr>
          <w:p>
            <w:r>
              <w:rPr>
                <w:rFonts w:ascii="Calibri" w:hAnsi="Calibri"/>
                <w:color w:val="2D3748"/>
                <w:sz w:val="18"/>
              </w:rPr>
              <w:t>3.3V Logic</w:t>
            </w:r>
          </w:p>
        </w:tc>
      </w:tr>
      <w:tr>
        <w:tc>
          <w:tcPr>
            <w:tcW w:type="dxa" w:w="2520"/>
            <w:shd w:fill="F7FAFC"/>
            <w:tcMar>
              <w:top w:w="60" w:type="dxa"/>
              <w:bottom w:w="60" w:type="dxa"/>
              <w:left w:w="100" w:type="dxa"/>
              <w:right w:w="100" w:type="dxa"/>
            </w:tcMar>
          </w:tcPr>
          <w:p>
            <w:r>
              <w:rPr>
                <w:rFonts w:ascii="Calibri" w:hAnsi="Calibri"/>
                <w:color w:val="2D3748"/>
                <w:sz w:val="18"/>
              </w:rPr>
              <w:t>HUB75 LED Matrix (128x64)</w:t>
            </w:r>
          </w:p>
        </w:tc>
        <w:tc>
          <w:tcPr>
            <w:tcW w:type="dxa" w:w="2520"/>
            <w:shd w:fill="F7FAFC"/>
            <w:tcMar>
              <w:top w:w="60" w:type="dxa"/>
              <w:bottom w:w="60" w:type="dxa"/>
              <w:left w:w="100" w:type="dxa"/>
              <w:right w:w="100" w:type="dxa"/>
            </w:tcMar>
          </w:tcPr>
          <w:p>
            <w:r>
              <w:rPr>
                <w:rFonts w:ascii="Calibri" w:hAnsi="Calibri"/>
                <w:color w:val="2D3748"/>
                <w:sz w:val="18"/>
              </w:rPr>
              <w:t>GPIO 25, 26, 27</w:t>
            </w:r>
          </w:p>
        </w:tc>
        <w:tc>
          <w:tcPr>
            <w:tcW w:type="dxa" w:w="2520"/>
            <w:shd w:fill="F7FAFC"/>
            <w:tcMar>
              <w:top w:w="60" w:type="dxa"/>
              <w:bottom w:w="60" w:type="dxa"/>
              <w:left w:w="100" w:type="dxa"/>
              <w:right w:w="100" w:type="dxa"/>
            </w:tcMar>
          </w:tcPr>
          <w:p>
            <w:r>
              <w:rPr>
                <w:rFonts w:ascii="Calibri" w:hAnsi="Calibri"/>
                <w:color w:val="2D3748"/>
                <w:sz w:val="18"/>
              </w:rPr>
              <w:t>R1, G1, B1 (Upper Half RGB)</w:t>
            </w:r>
          </w:p>
        </w:tc>
        <w:tc>
          <w:tcPr>
            <w:tcW w:type="dxa" w:w="2520"/>
            <w:shd w:fill="F7FAFC"/>
            <w:tcMar>
              <w:top w:w="60" w:type="dxa"/>
              <w:bottom w:w="60" w:type="dxa"/>
              <w:left w:w="100" w:type="dxa"/>
              <w:right w:w="100" w:type="dxa"/>
            </w:tcMar>
          </w:tcPr>
          <w:p>
            <w:r>
              <w:rPr>
                <w:rFonts w:ascii="Calibri" w:hAnsi="Calibri"/>
                <w:color w:val="2D3748"/>
                <w:sz w:val="18"/>
              </w:rPr>
              <w:t>5V Matrix VCC / 3.3V Logic</w:t>
            </w:r>
          </w:p>
        </w:tc>
      </w:tr>
      <w:tr>
        <w:tc>
          <w:tcPr>
            <w:tcW w:type="dxa" w:w="2520"/>
            <w:shd w:fill="FFFFFF"/>
            <w:tcMar>
              <w:top w:w="60" w:type="dxa"/>
              <w:bottom w:w="60" w:type="dxa"/>
              <w:left w:w="100" w:type="dxa"/>
              <w:right w:w="100" w:type="dxa"/>
            </w:tcMar>
          </w:tcPr>
          <w:p>
            <w:r>
              <w:rPr>
                <w:rFonts w:ascii="Calibri" w:hAnsi="Calibri"/>
                <w:color w:val="2D3748"/>
                <w:sz w:val="18"/>
              </w:rPr>
              <w:t>HUB75 LED Matrix (128x64)</w:t>
            </w:r>
          </w:p>
        </w:tc>
        <w:tc>
          <w:tcPr>
            <w:tcW w:type="dxa" w:w="2520"/>
            <w:shd w:fill="FFFFFF"/>
            <w:tcMar>
              <w:top w:w="60" w:type="dxa"/>
              <w:bottom w:w="60" w:type="dxa"/>
              <w:left w:w="100" w:type="dxa"/>
              <w:right w:w="100" w:type="dxa"/>
            </w:tcMar>
          </w:tcPr>
          <w:p>
            <w:r>
              <w:rPr>
                <w:rFonts w:ascii="Calibri" w:hAnsi="Calibri"/>
                <w:color w:val="2D3748"/>
                <w:sz w:val="18"/>
              </w:rPr>
              <w:t>GPIO 14, 12, 13</w:t>
            </w:r>
          </w:p>
        </w:tc>
        <w:tc>
          <w:tcPr>
            <w:tcW w:type="dxa" w:w="2520"/>
            <w:shd w:fill="FFFFFF"/>
            <w:tcMar>
              <w:top w:w="60" w:type="dxa"/>
              <w:bottom w:w="60" w:type="dxa"/>
              <w:left w:w="100" w:type="dxa"/>
              <w:right w:w="100" w:type="dxa"/>
            </w:tcMar>
          </w:tcPr>
          <w:p>
            <w:r>
              <w:rPr>
                <w:rFonts w:ascii="Calibri" w:hAnsi="Calibri"/>
                <w:color w:val="2D3748"/>
                <w:sz w:val="18"/>
              </w:rPr>
              <w:t>R2, G2, B2 (Lower Half RGB)</w:t>
            </w:r>
          </w:p>
        </w:tc>
        <w:tc>
          <w:tcPr>
            <w:tcW w:type="dxa" w:w="2520"/>
            <w:shd w:fill="FFFFFF"/>
            <w:tcMar>
              <w:top w:w="60" w:type="dxa"/>
              <w:bottom w:w="60" w:type="dxa"/>
              <w:left w:w="100" w:type="dxa"/>
              <w:right w:w="100" w:type="dxa"/>
            </w:tcMar>
          </w:tcPr>
          <w:p>
            <w:r>
              <w:rPr>
                <w:rFonts w:ascii="Calibri" w:hAnsi="Calibri"/>
                <w:color w:val="2D3748"/>
                <w:sz w:val="18"/>
              </w:rPr>
              <w:t>5V Matrix VCC / 3.3V Logic</w:t>
            </w:r>
          </w:p>
        </w:tc>
      </w:tr>
      <w:tr>
        <w:tc>
          <w:tcPr>
            <w:tcW w:type="dxa" w:w="2520"/>
            <w:shd w:fill="F7FAFC"/>
            <w:tcMar>
              <w:top w:w="60" w:type="dxa"/>
              <w:bottom w:w="60" w:type="dxa"/>
              <w:left w:w="100" w:type="dxa"/>
              <w:right w:w="100" w:type="dxa"/>
            </w:tcMar>
          </w:tcPr>
          <w:p>
            <w:r>
              <w:rPr>
                <w:rFonts w:ascii="Calibri" w:hAnsi="Calibri"/>
                <w:color w:val="2D3748"/>
                <w:sz w:val="18"/>
              </w:rPr>
              <w:t>HUB75 LED Matrix (128x64)</w:t>
            </w:r>
          </w:p>
        </w:tc>
        <w:tc>
          <w:tcPr>
            <w:tcW w:type="dxa" w:w="2520"/>
            <w:shd w:fill="F7FAFC"/>
            <w:tcMar>
              <w:top w:w="60" w:type="dxa"/>
              <w:bottom w:w="60" w:type="dxa"/>
              <w:left w:w="100" w:type="dxa"/>
              <w:right w:w="100" w:type="dxa"/>
            </w:tcMar>
          </w:tcPr>
          <w:p>
            <w:r>
              <w:rPr>
                <w:rFonts w:ascii="Calibri" w:hAnsi="Calibri"/>
                <w:color w:val="2D3748"/>
                <w:sz w:val="18"/>
              </w:rPr>
              <w:t>GPIO 23, 19, 5, 18, 4</w:t>
            </w:r>
          </w:p>
        </w:tc>
        <w:tc>
          <w:tcPr>
            <w:tcW w:type="dxa" w:w="2520"/>
            <w:shd w:fill="F7FAFC"/>
            <w:tcMar>
              <w:top w:w="60" w:type="dxa"/>
              <w:bottom w:w="60" w:type="dxa"/>
              <w:left w:w="100" w:type="dxa"/>
              <w:right w:w="100" w:type="dxa"/>
            </w:tcMar>
          </w:tcPr>
          <w:p>
            <w:r>
              <w:rPr>
                <w:rFonts w:ascii="Calibri" w:hAnsi="Calibri"/>
                <w:color w:val="2D3748"/>
                <w:sz w:val="18"/>
              </w:rPr>
              <w:t>A, B, C, D, E (Row Scan Lines)</w:t>
            </w:r>
          </w:p>
        </w:tc>
        <w:tc>
          <w:tcPr>
            <w:tcW w:type="dxa" w:w="2520"/>
            <w:shd w:fill="F7FAFC"/>
            <w:tcMar>
              <w:top w:w="60" w:type="dxa"/>
              <w:bottom w:w="60" w:type="dxa"/>
              <w:left w:w="100" w:type="dxa"/>
              <w:right w:w="100" w:type="dxa"/>
            </w:tcMar>
          </w:tcPr>
          <w:p>
            <w:r>
              <w:rPr>
                <w:rFonts w:ascii="Calibri" w:hAnsi="Calibri"/>
                <w:color w:val="2D3748"/>
                <w:sz w:val="18"/>
              </w:rPr>
              <w:t>5V Matrix VCC / 3.3V Logic</w:t>
            </w:r>
          </w:p>
        </w:tc>
      </w:tr>
      <w:tr>
        <w:tc>
          <w:tcPr>
            <w:tcW w:type="dxa" w:w="2520"/>
            <w:shd w:fill="FFFFFF"/>
            <w:tcMar>
              <w:top w:w="60" w:type="dxa"/>
              <w:bottom w:w="60" w:type="dxa"/>
              <w:left w:w="100" w:type="dxa"/>
              <w:right w:w="100" w:type="dxa"/>
            </w:tcMar>
          </w:tcPr>
          <w:p>
            <w:r>
              <w:rPr>
                <w:rFonts w:ascii="Calibri" w:hAnsi="Calibri"/>
                <w:color w:val="2D3748"/>
                <w:sz w:val="18"/>
              </w:rPr>
              <w:t>HUB75 LED Matrix (128x64)</w:t>
            </w:r>
          </w:p>
        </w:tc>
        <w:tc>
          <w:tcPr>
            <w:tcW w:type="dxa" w:w="2520"/>
            <w:shd w:fill="FFFFFF"/>
            <w:tcMar>
              <w:top w:w="60" w:type="dxa"/>
              <w:bottom w:w="60" w:type="dxa"/>
              <w:left w:w="100" w:type="dxa"/>
              <w:right w:w="100" w:type="dxa"/>
            </w:tcMar>
          </w:tcPr>
          <w:p>
            <w:r>
              <w:rPr>
                <w:rFonts w:ascii="Calibri" w:hAnsi="Calibri"/>
                <w:color w:val="2D3748"/>
                <w:sz w:val="18"/>
              </w:rPr>
              <w:t>GPIO 15, 32, 33</w:t>
            </w:r>
          </w:p>
        </w:tc>
        <w:tc>
          <w:tcPr>
            <w:tcW w:type="dxa" w:w="2520"/>
            <w:shd w:fill="FFFFFF"/>
            <w:tcMar>
              <w:top w:w="60" w:type="dxa"/>
              <w:bottom w:w="60" w:type="dxa"/>
              <w:left w:w="100" w:type="dxa"/>
              <w:right w:w="100" w:type="dxa"/>
            </w:tcMar>
          </w:tcPr>
          <w:p>
            <w:r>
              <w:rPr>
                <w:rFonts w:ascii="Calibri" w:hAnsi="Calibri"/>
                <w:color w:val="2D3748"/>
                <w:sz w:val="18"/>
              </w:rPr>
              <w:t>LAT, OE, CLK (Timing &amp; Latch)</w:t>
            </w:r>
          </w:p>
        </w:tc>
        <w:tc>
          <w:tcPr>
            <w:tcW w:type="dxa" w:w="2520"/>
            <w:shd w:fill="FFFFFF"/>
            <w:tcMar>
              <w:top w:w="60" w:type="dxa"/>
              <w:bottom w:w="60" w:type="dxa"/>
              <w:left w:w="100" w:type="dxa"/>
              <w:right w:w="100" w:type="dxa"/>
            </w:tcMar>
          </w:tcPr>
          <w:p>
            <w:r>
              <w:rPr>
                <w:rFonts w:ascii="Calibri" w:hAnsi="Calibri"/>
                <w:color w:val="2D3748"/>
                <w:sz w:val="18"/>
              </w:rPr>
              <w:t>5V Matrix VCC / 3.3V Logic</w:t>
            </w:r>
          </w:p>
        </w:tc>
      </w:tr>
      <w:tr>
        <w:tc>
          <w:tcPr>
            <w:tcW w:type="dxa" w:w="2520"/>
            <w:shd w:fill="F7FAFC"/>
            <w:tcMar>
              <w:top w:w="60" w:type="dxa"/>
              <w:bottom w:w="60" w:type="dxa"/>
              <w:left w:w="100" w:type="dxa"/>
              <w:right w:w="100" w:type="dxa"/>
            </w:tcMar>
          </w:tcPr>
          <w:p>
            <w:r>
              <w:rPr>
                <w:rFonts w:ascii="Calibri" w:hAnsi="Calibri"/>
                <w:color w:val="2D3748"/>
                <w:sz w:val="18"/>
              </w:rPr>
              <w:t>Solar Battery Voltage Divider</w:t>
            </w:r>
          </w:p>
        </w:tc>
        <w:tc>
          <w:tcPr>
            <w:tcW w:type="dxa" w:w="2520"/>
            <w:shd w:fill="F7FAFC"/>
            <w:tcMar>
              <w:top w:w="60" w:type="dxa"/>
              <w:bottom w:w="60" w:type="dxa"/>
              <w:left w:w="100" w:type="dxa"/>
              <w:right w:w="100" w:type="dxa"/>
            </w:tcMar>
          </w:tcPr>
          <w:p>
            <w:r>
              <w:rPr>
                <w:rFonts w:ascii="Calibri" w:hAnsi="Calibri"/>
                <w:color w:val="2D3748"/>
                <w:sz w:val="18"/>
              </w:rPr>
              <w:t>GPIO 34 (ADC1_CH6)</w:t>
            </w:r>
          </w:p>
        </w:tc>
        <w:tc>
          <w:tcPr>
            <w:tcW w:type="dxa" w:w="2520"/>
            <w:shd w:fill="F7FAFC"/>
            <w:tcMar>
              <w:top w:w="60" w:type="dxa"/>
              <w:bottom w:w="60" w:type="dxa"/>
              <w:left w:w="100" w:type="dxa"/>
              <w:right w:w="100" w:type="dxa"/>
            </w:tcMar>
          </w:tcPr>
          <w:p>
            <w:r>
              <w:rPr>
                <w:rFonts w:ascii="Calibri" w:hAnsi="Calibri"/>
                <w:color w:val="2D3748"/>
                <w:sz w:val="18"/>
              </w:rPr>
              <w:t>Analog Voltage Input (0-3.3V)</w:t>
            </w:r>
          </w:p>
        </w:tc>
        <w:tc>
          <w:tcPr>
            <w:tcW w:type="dxa" w:w="2520"/>
            <w:shd w:fill="F7FAFC"/>
            <w:tcMar>
              <w:top w:w="60" w:type="dxa"/>
              <w:bottom w:w="60" w:type="dxa"/>
              <w:left w:w="100" w:type="dxa"/>
              <w:right w:w="100" w:type="dxa"/>
            </w:tcMar>
          </w:tcPr>
          <w:p>
            <w:r>
              <w:rPr>
                <w:rFonts w:ascii="Calibri" w:hAnsi="Calibri"/>
                <w:color w:val="2D3748"/>
                <w:sz w:val="18"/>
              </w:rPr>
              <w:t>12V Battery via Divider</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