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1.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Author"/>
      </w:pPr>
      <w:r>
        <w:t xml:space="preserve">Alexandra</w:t>
      </w:r>
      <w:r>
        <w:t xml:space="preserve"> </w:t>
      </w:r>
      <w:r>
        <w:t xml:space="preserve">G.</w:t>
      </w:r>
      <w:r>
        <w:t xml:space="preserve"> </w:t>
      </w:r>
      <w:r>
        <w:t xml:space="preserve">Mitchell</w:t>
      </w:r>
      <w:r>
        <w:rPr>
          <w:vertAlign w:val="superscript"/>
        </w:rPr>
        <w:t xml:space="preserve">1</w:t>
      </w:r>
      <w:r>
        <w:t xml:space="preserve">,</w:t>
      </w:r>
      <w:r>
        <w:t xml:space="preserve"> </w:t>
      </w:r>
      <w:r>
        <w:t xml:space="preserve">Jesper</w:t>
      </w:r>
      <w:r>
        <w:t xml:space="preserve"> </w:t>
      </w:r>
      <w:r>
        <w:t xml:space="preserve">Fischer</w:t>
      </w:r>
      <w:r>
        <w:t xml:space="preserve"> </w:t>
      </w:r>
      <w:r>
        <w:t xml:space="preserve">Ehmsen</w:t>
      </w:r>
      <w:r>
        <w:rPr>
          <w:vertAlign w:val="superscript"/>
        </w:rPr>
        <w:t xml:space="preserve">1</w:t>
      </w:r>
      <w:r>
        <w:t xml:space="preserve">,</w:t>
      </w:r>
      <w:r>
        <w:t xml:space="preserve"> </w:t>
      </w:r>
      <w:r>
        <w:t xml:space="preserve">Daniel</w:t>
      </w:r>
      <w:r>
        <w:t xml:space="preserve"> </w:t>
      </w:r>
      <w:r>
        <w:t xml:space="preserve">Elmstrom</w:t>
      </w:r>
      <w:r>
        <w:t xml:space="preserve"> </w:t>
      </w:r>
      <w:r>
        <w:t xml:space="preserve">Christensen</w:t>
      </w:r>
      <w:r>
        <w:rPr>
          <w:vertAlign w:val="superscript"/>
        </w:rPr>
        <w:t xml:space="preserve">1</w:t>
      </w:r>
      <w:r>
        <w:t xml:space="preserve">,</w:t>
      </w:r>
      <w:r>
        <w:t xml:space="preserve"> </w:t>
      </w:r>
      <w:r>
        <w:t xml:space="preserve">Anna</w:t>
      </w:r>
      <w:r>
        <w:t xml:space="preserve"> </w:t>
      </w:r>
      <w:r>
        <w:t xml:space="preserve">Villaume</w:t>
      </w:r>
      <w:r>
        <w:t xml:space="preserve"> </w:t>
      </w:r>
      <w:r>
        <w:t xml:space="preserve">Stuckert</w:t>
      </w:r>
      <w:r>
        <w:rPr>
          <w:vertAlign w:val="superscript"/>
        </w:rPr>
        <w:t xml:space="preserve">2</w:t>
      </w:r>
      <w:r>
        <w:t xml:space="preserve">,</w:t>
      </w:r>
      <w:r>
        <w:t xml:space="preserve"> </w:t>
      </w:r>
      <w:r>
        <w:t xml:space="preserve">Patrick</w:t>
      </w:r>
      <w:r>
        <w:t xml:space="preserve"> </w:t>
      </w:r>
      <w:r>
        <w:t xml:space="preserve">Haggard</w:t>
      </w:r>
      <w:r>
        <w:rPr>
          <w:vertAlign w:val="superscript"/>
        </w:rPr>
        <w:t xml:space="preserve">3</w:t>
      </w:r>
      <w:r>
        <w:t xml:space="preserve">,</w:t>
      </w:r>
      <w:r>
        <w:t xml:space="preserve"> </w:t>
      </w:r>
      <w:r>
        <w:t xml:space="preserve">Francesca</w:t>
      </w:r>
      <w:r>
        <w:t xml:space="preserve"> </w:t>
      </w:r>
      <w:r>
        <w:t xml:space="preserve">Fardo</w:t>
      </w:r>
      <w:r>
        <w:rPr>
          <w:vertAlign w:val="superscript"/>
        </w:rPr>
        <w:t xml:space="preserve">1,4</w:t>
      </w:r>
    </w:p>
    <w:p>
      <w:pPr>
        <w:pStyle w:val="Titletext"/>
      </w:pPr>
      <w:r>
        <w:rPr>
          <w:vertAlign w:val="superscript"/>
        </w:rPr>
        <w:t xml:space="preserve">1</w:t>
      </w:r>
      <w:r>
        <w:t xml:space="preserve">Center of Functionally Integrative Neuroscience, Department of Clinical Medicine, Aarhus University, Denmark</w:t>
      </w:r>
    </w:p>
    <w:p>
      <w:pPr>
        <w:pStyle w:val="Titletext"/>
      </w:pPr>
      <w:r>
        <w:rPr>
          <w:vertAlign w:val="superscript"/>
        </w:rPr>
        <w:t xml:space="preserve">2</w:t>
      </w:r>
      <w:r>
        <w:t xml:space="preserve">Department of Neuroscience, Copenhagen University, Denmark</w:t>
      </w:r>
    </w:p>
    <w:p>
      <w:pPr>
        <w:pStyle w:val="Titletext"/>
      </w:pPr>
      <w:r>
        <w:rPr>
          <w:vertAlign w:val="superscript"/>
        </w:rPr>
        <w:t xml:space="preserve">3</w:t>
      </w:r>
      <w:r>
        <w:t xml:space="preserve">Institute of Cognitive Neuroscience, University College London, United Kingdom</w:t>
      </w:r>
    </w:p>
    <w:p>
      <w:pPr>
        <w:pStyle w:val="Titletext"/>
      </w:pPr>
      <w:r>
        <w:rPr>
          <w:vertAlign w:val="superscript"/>
        </w:rPr>
        <w:t xml:space="preserve">4</w:t>
      </w:r>
      <w:r>
        <w:t xml:space="preserve">Danish Pain Research Center, Department of Clinical Medicine, Aarhus University, Denmark</w:t>
      </w:r>
    </w:p>
    <w:p>
      <w:pPr>
        <w:pStyle w:val="BodyText"/>
      </w:pPr>
    </w:p>
    <w:p>
      <w:pPr>
        <w:pStyle w:val="BodyText"/>
      </w:pPr>
      <w:r>
        <w:t xml:space="preserve">Corresponding authors: Alexandra G. Mitchell (</w:t>
      </w:r>
      <w:hyperlink r:id="rId20">
        <w:r>
          <w:rPr>
            <w:rStyle w:val="Hyperlink"/>
          </w:rPr>
          <w:t xml:space="preserve">agmitchell@cfin.au.dk</w:t>
        </w:r>
      </w:hyperlink>
      <w:r>
        <w:t xml:space="preserve">) and Francesca Fardo (</w:t>
      </w:r>
      <w:hyperlink r:id="rId21">
        <w:r>
          <w:rPr>
            <w:rStyle w:val="Hyperlink"/>
          </w:rPr>
          <w:t xml:space="preserve">francesca@cfin.au.dk</w:t>
        </w:r>
      </w:hyperlink>
      <w:r>
        <w:t xml:space="preserve">)</w:t>
      </w:r>
    </w:p>
    <w:p>
      <w:r>
        <w:br w:type="page"/>
      </w:r>
    </w:p>
    <w:bookmarkStart w:id="22"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w:t>
      </w:r>
      <w:r>
        <w:t xml:space="preserve"> </w:t>
      </w:r>
      <w:r>
        <w:t xml:space="preserve">Much debate has revolved around whether spinal mechanisms are involved in the generation of illusory pain, beyond supraspinal mechanisms.</w:t>
      </w:r>
      <w:r>
        <w:t xml:space="preserve"> </w:t>
      </w:r>
      <w:r>
        <w:t xml:space="preserve">In this study, we investigated the role of the spinal cord in the generation of the TGI, in two independent experiments, involving a total of 80 healthy individuals.</w:t>
      </w:r>
      <w:r>
        <w:t xml:space="preserve"> </w:t>
      </w:r>
      <w:r>
        <w:t xml:space="preserve">We applied heat and cold stimuli on dermatomes, namely areas of skin innervated by a single spinal nerve, mapped onto adjacent or nonadjacent spinal segments.</w:t>
      </w:r>
      <w:r>
        <w:t xml:space="preserve"> </w:t>
      </w:r>
      <w:r>
        <w:t xml:space="preserve">Participants were asked to rate their perceptions of cold, warm, and burning sensations in response to TGI and control stimuli.</w:t>
      </w:r>
      <w:r>
        <w:t xml:space="preserve"> </w:t>
      </w:r>
      <w:r>
        <w:t xml:space="preserve">Our aims were to investigate thermosensory and painful perceptual components of the TGI, as well as spatial features of the illusion that may illuminate processes underlying thermosensory integration in the spinal cord.</w:t>
      </w:r>
      <w:r>
        <w:t xml:space="preserve"> </w:t>
      </w:r>
      <w:r>
        <w:t xml:space="preserve">Our findings revealed that both thermosensory and painful components of TGI perception were modulated similarly, with enhanced warm and burning ratings observed when cold and warm stimuli were confined within the same dermatome.</w:t>
      </w:r>
      <w:r>
        <w:t xml:space="preserve"> </w:t>
      </w:r>
      <w:r>
        <w:t xml:space="preserve">Further, we found no perceptual differences based on the proximal-distal location of the cold stimulus within a single dermatome, but notable heat enhancement when the cold rather than the warm stimulus was associated with a more caudal segmental location along the spinal cord.</w:t>
      </w:r>
      <w:r>
        <w:t xml:space="preserve"> </w:t>
      </w:r>
      <w:r>
        <w:t xml:space="preserve">These results provide insights into the organisation of the spinal cord in relation to the thermosensory integration and generation of the TGI.</w:t>
      </w:r>
    </w:p>
    <w:p>
      <w:r>
        <w:br w:type="page"/>
      </w:r>
    </w:p>
    <w:bookmarkEnd w:id="22"/>
    <w:bookmarkStart w:id="23"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w:t>
      </w:r>
      <w:r>
        <w:t xml:space="preserve"> </w:t>
      </w:r>
      <w:r>
        <w:t xml:space="preserve">The generation of this illusion is thus attributed to central nervous system mechanisms</w:t>
      </w:r>
      <w:r>
        <w:t xml:space="preserve"> </w:t>
      </w:r>
      <w:r>
        <w:t xml:space="preserve">(</w:t>
      </w:r>
      <w:hyperlink w:anchor="ref-craig_thermal_1994">
        <w:r>
          <w:rPr>
            <w:rStyle w:val="Hyperlink"/>
          </w:rPr>
          <w:t xml:space="preserve">Craig and Bushnell 1994</w:t>
        </w:r>
      </w:hyperlink>
      <w:r>
        <w:t xml:space="preserve">;</w:t>
      </w:r>
      <w:r>
        <w:t xml:space="preserve"> </w:t>
      </w:r>
      <w:hyperlink w:anchor="ref-fardo_beyond_2020">
        <w:r>
          <w:rPr>
            <w:rStyle w:val="Hyperlink"/>
          </w:rPr>
          <w:t xml:space="preserve">Fardo et al. 2020</w:t>
        </w:r>
      </w:hyperlink>
      <w:r>
        <w:t xml:space="preserve">)</w:t>
      </w:r>
      <w:r>
        <w:t xml:space="preserve">.</w:t>
      </w:r>
      <w:r>
        <w:t xml:space="preserve"> </w:t>
      </w:r>
      <w:r>
        <w:t xml:space="preserve">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w:t>
      </w:r>
      <w:r>
        <w:t xml:space="preserve"> </w:t>
      </w:r>
      <w:r>
        <w:t xml:space="preserve">However, the precise mechanisms underpinning integration of cold and warm thermal afferents in the spinal cord, alongside those responsible for the distinctive burning quality to this illusion, are yet to be elucidated.</w:t>
      </w:r>
    </w:p>
    <w:p>
      <w:pPr>
        <w:pStyle w:val="BodyText"/>
      </w:pPr>
      <w:r>
        <w:t xml:space="preserve">The TGI is often described as encompassing two distinct perceptual components - an illusion of heat and an illusion of pain</w:t>
      </w:r>
      <w:r>
        <w:t xml:space="preserve"> </w:t>
      </w:r>
      <w:r>
        <w:t xml:space="preserve">(</w:t>
      </w:r>
      <w:hyperlink w:anchor="ref-defrin_spatial_2008">
        <w:r>
          <w:rPr>
            <w:rStyle w:val="Hyperlink"/>
          </w:rPr>
          <w:t xml:space="preserve">Defrin et al. 2008</w:t>
        </w:r>
      </w:hyperlink>
      <w:r>
        <w:t xml:space="preserve">;</w:t>
      </w:r>
      <w:r>
        <w:t xml:space="preserve"> </w:t>
      </w:r>
      <w:hyperlink w:anchor="ref-fardo_beyond_2020">
        <w:r>
          <w:rPr>
            <w:rStyle w:val="Hyperlink"/>
          </w:rPr>
          <w:t xml:space="preserve">Fardo et al. 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heat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Craig and Bushnell 1994</w:t>
        </w:r>
      </w:hyperlink>
      <w:r>
        <w:t xml:space="preserve">)</w:t>
      </w:r>
      <w:r>
        <w:t xml:space="preserve">. Instead, the illusory pain component was ascribed to a disinhibition mechanism at the level of the thalamus, primarily based on the observations of unremitting pain following thalamic lesions</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new_1998">
        <w:r>
          <w:rPr>
            <w:rStyle w:val="Hyperlink"/>
          </w:rPr>
          <w:t xml:space="preserve">1998</w:t>
        </w:r>
      </w:hyperlink>
      <w:r>
        <w:t xml:space="preserve">)</w:t>
      </w:r>
      <w:r>
        <w:t xml:space="preserve">.</w:t>
      </w:r>
    </w:p>
    <w:p>
      <w:pPr>
        <w:pStyle w:val="BodyText"/>
      </w:pPr>
      <w:r>
        <w:t xml:space="preserve">Recent human studies on TGI provided differing interpretations of the spinal or supraspinal origin of the illusion.</w:t>
      </w:r>
      <w:r>
        <w:t xml:space="preserve"> </w:t>
      </w:r>
      <w:r>
        <w:t xml:space="preserve">Two studies posited that the illusory pain component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w:t>
      </w:r>
      <w:r>
        <w:t xml:space="preserve"> </w:t>
      </w:r>
      <w:r>
        <w:t xml:space="preserve">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w:t>
      </w:r>
      <w:r>
        <w:t xml:space="preserve"> </w:t>
      </w:r>
      <w:r>
        <w:t xml:space="preserve">Counter to this perspective, other research endorsed a spinal contribution to the TGI.</w:t>
      </w:r>
      <w:r>
        <w:t xml:space="preserve"> </w:t>
      </w:r>
      <w:r>
        <w:t xml:space="preserve">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w:t>
      </w:r>
      <w:r>
        <w:t xml:space="preserve"> </w:t>
      </w:r>
      <w:r>
        <w:t xml:space="preserve">Participants perceived the stimulation more veridically, consistently with a reduction in TGI perception, when warm or cold stimuli mapped on segmental locations that were apart along the spinal cord, corroborating the hypothesis that the spinal cord is an initial site of thermosensory integration underlying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This suggests a similar influence of descending modulation, irrespective of whether the painful sensation was triggered by potentially harmful (noxious) or harmless (TGI) stimuli</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findings collectively challenge a purely supraspinal hypothesis of the painful component of the TGI and indicate the relevance of spinal mechanisms in the manifestation of both illusory heat and pain.</w:t>
      </w:r>
    </w:p>
    <w:p>
      <w:pPr>
        <w:pStyle w:val="BodyText"/>
      </w:pP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Cold and warm stimuli were presented at a fixed distance on the skin, but depending on their longitudinal or tangential orientation on the arm, they elicited differing neural activity in the spinal cord.</w:t>
      </w:r>
      <w:r>
        <w:t xml:space="preserve"> </w:t>
      </w:r>
      <w:r>
        <w:t xml:space="preserve">Our assumption was that cold and warm-related neural activity in the spinal cord was more focal (i.e., within the same spinal segments or within a few adjacent segments), when the stimuli were presented within the same dermatome, while more widespread, when the stimuli mapped on non-adjacent spinal segments (i.e., possibly 2 to 4 segments apart).</w:t>
      </w:r>
      <w:r>
        <w:t xml:space="preserve"> </w:t>
      </w:r>
      <w:r>
        <w:t xml:space="preserve">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painful components.</w:t>
      </w:r>
      <w:r>
        <w:t xml:space="preserve"> </w:t>
      </w:r>
      <w:r>
        <w:t xml:space="preserve">Here, to probe possible distinctions between the two qualitative components of the TGI, we measured subjective indices of TGI perception using three independent visual analog scale (VAS) ratings of perceived cold, warm and burning sensations.</w:t>
      </w:r>
      <w:r>
        <w:t xml:space="preserve"> </w:t>
      </w:r>
      <w:r>
        <w:t xml:space="preserve">Secondly, we investigated spatial order effects associated with the integration of cold and warm sensory information at the dermatome (skin) and segmental (i.,e.,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w:t>
      </w:r>
      <w:r>
        <w:t xml:space="preserve"> </w:t>
      </w:r>
      <w:r>
        <w:t xml:space="preserve">Given the organisation of the spinal cord along a rostral-caudal axis, where each dermatome is represented across multiple spinal segments through the Lissauer tract</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 </w:t>
      </w:r>
      <w:hyperlink w:anchor="ref-wall_brief_1999">
        <w:r>
          <w:rPr>
            <w:rStyle w:val="Hyperlink"/>
          </w:rPr>
          <w:t xml:space="preserve">Wall, Lidierth, and Hillman 1999</w:t>
        </w:r>
      </w:hyperlink>
      <w:r>
        <w:t xml:space="preserve">)</w:t>
      </w:r>
      <w:r>
        <w:t xml:space="preserve">, this study aimed to glean indirect insights into the spinal mechanisms underpinning thermosensory integration and the generation of the TGI.</w:t>
      </w:r>
    </w:p>
    <w:bookmarkEnd w:id="23"/>
    <w:bookmarkStart w:id="41"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w:t>
      </w:r>
    </w:p>
    <w:p>
      <w:pPr>
        <w:pStyle w:val="BodyText"/>
      </w:pPr>
      <w:r>
        <w:t xml:space="preserve">To investigate thermosensory and burning components of the TGI, participants received pairs of temperatures on their forearms and were asked to quantify the levels of cold, warmth, and burning they experienced during each stimulation.</w:t>
      </w:r>
      <w:r>
        <w:t xml:space="preserve"> </w:t>
      </w:r>
      <w:r>
        <w:t xml:space="preserve">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w:t>
      </w:r>
      <w:r>
        <w:t xml:space="preserve"> </w:t>
      </w:r>
      <w:r>
        <w:t xml:space="preserve">For each stimulation, participants reported their ratings using three sequential VAS scales ranging from 0, indicating the lack of a sensation, to 100, indicating an extreme sensation.</w:t>
      </w:r>
      <w:r>
        <w:t xml:space="preserve"> </w:t>
      </w:r>
      <w:r>
        <w:t xml:space="preserve">For each instance of stimulation, participants were guided to focus their reporting on the sensations originating from a specific thermode.</w:t>
      </w:r>
      <w:r>
        <w:t xml:space="preserve"> </w:t>
      </w:r>
      <w:r>
        <w:t xml:space="preserve">While the participants were unaware, this location corresponded to either the colder stimulus (Exp. 1) or the warmer stimulus (Exp. 2) of the paired temperatures.</w:t>
      </w:r>
      <w:r>
        <w:t xml:space="preserve"> </w:t>
      </w:r>
      <w:r>
        <w:t xml:space="preserve">VAS ratings were analysed using zero-inflated beta regressions.</w:t>
      </w:r>
    </w:p>
    <w:bookmarkStart w:id="30" w:name="Xc380e0056cd0a92a36813b60c2c1857422ff92b"/>
    <w:p>
      <w:pPr>
        <w:pStyle w:val="Heading2"/>
      </w:pPr>
      <w:r>
        <w:t xml:space="preserve">Thermosensory and burning components of TGI perception are spinally mediated</w:t>
      </w:r>
    </w:p>
    <w:p>
      <w:pPr>
        <w:pStyle w:val="CaptionedFigure"/>
      </w:pPr>
      <w:r>
        <w:drawing>
          <wp:inline>
            <wp:extent cx="5943600" cy="4128694"/>
            <wp:effectExtent b="0" l="0" r="0" t="0"/>
            <wp:docPr descr="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5" name="Picture"/>
            <a:graphic>
              <a:graphicData uri="http://schemas.openxmlformats.org/drawingml/2006/picture">
                <pic:pic>
                  <pic:nvPicPr>
                    <pic:cNvPr descr="Manuscript_files/figure-docx/unnamed-chunk-2-1.png" id="26" name="Picture"/>
                    <pic:cNvPicPr>
                      <a:picLocks noChangeArrowheads="1" noChangeAspect="1"/>
                    </pic:cNvPicPr>
                  </pic:nvPicPr>
                  <pic:blipFill>
                    <a:blip r:embed="rId24"/>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943600" cy="4128694"/>
            <wp:effectExtent b="0" l="0" r="0" t="0"/>
            <wp:docPr descr="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title="" id="28" name="Picture"/>
            <a:graphic>
              <a:graphicData uri="http://schemas.openxmlformats.org/drawingml/2006/picture">
                <pic:pic>
                  <pic:nvPicPr>
                    <pic:cNvPr descr="Manuscript_files/figure-docx/unnamed-chunk-3-1.png" id="29" name="Picture"/>
                    <pic:cNvPicPr>
                      <a:picLocks noChangeArrowheads="1" noChangeAspect="1"/>
                    </pic:cNvPicPr>
                  </pic:nvPicPr>
                  <pic:blipFill>
                    <a:blip r:embed="rId27"/>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w:t>
      </w:r>
      <w:r>
        <w:t xml:space="preserve"> </w:t>
      </w:r>
      <w:r>
        <w:t xml:space="preserve">When rating the cold thermode (Exp. 1, Fig. 2A), participants reported a reduced subjective experience of cold for TGI, but not non-TGI, stimuli applied within a dermatome compared to across dermatomes (stimulation by dermatome interaction:</w:t>
      </w:r>
      <w:r>
        <w:t xml:space="preserve"> </w:t>
      </w:r>
      <m:oMath>
        <m:r>
          <m:t>β</m:t>
        </m:r>
      </m:oMath>
      <w:r>
        <w:t xml:space="preserve"> </w:t>
      </w:r>
      <w:r>
        <w:t xml:space="preserve">= -0.15, p &lt; .01), alongside an increased subjective experience of warmth for both TGI and non-TGI stimuli (stimulation by dermatome interaction:</w:t>
      </w:r>
      <w:r>
        <w:t xml:space="preserve"> </w:t>
      </w:r>
      <m:oMath>
        <m:r>
          <m:t>β</m:t>
        </m:r>
      </m:oMath>
      <w:r>
        <w:t xml:space="preserve"> </w:t>
      </w:r>
      <w:r>
        <w:t xml:space="preserve">= -0.03, p = 0.77; dermatome main effect:</w:t>
      </w:r>
      <w:r>
        <w:t xml:space="preserve"> </w:t>
      </w:r>
      <m:oMath>
        <m:r>
          <m:t>β</m:t>
        </m:r>
      </m:oMath>
      <w:r>
        <w:t xml:space="preserve"> </w:t>
      </w:r>
      <w:r>
        <w:t xml:space="preserve">= 0.26, p &lt; .001).</w:t>
      </w:r>
      <w:r>
        <w:t xml:space="preserve"> </w:t>
      </w:r>
      <w:r>
        <w:t xml:space="preserve">Further, participants reported no significant modulation of burning ratings depending on the dermatome condition (stimulation by dermatome interaction:</w:t>
      </w:r>
      <w:r>
        <w:t xml:space="preserve"> </w:t>
      </w:r>
      <m:oMath>
        <m:r>
          <m:t>β</m:t>
        </m:r>
      </m:oMath>
      <w:r>
        <w:t xml:space="preserve"> </w:t>
      </w:r>
      <w:r>
        <w:t xml:space="preserve">= 0.10, p = 0.15; dermatome main effect:</w:t>
      </w:r>
      <w:r>
        <w:t xml:space="preserve"> </w:t>
      </w:r>
      <m:oMath>
        <m:r>
          <m:t>β</m:t>
        </m:r>
      </m:oMath>
      <w:r>
        <w:t xml:space="preserve"> </w:t>
      </w:r>
      <w:r>
        <w:t xml:space="preserve">= -0.04, p = 0.39).</w:t>
      </w:r>
      <w:r>
        <w:t xml:space="preserve"> </w:t>
      </w:r>
      <w:r>
        <w:t xml:space="preserve">These results indicated that when participants assessed the cold thermode, the greatest modulation in TGI perception was related to cold perception, with within-dermatome TGI stimuli perceived as the least cold.</w:t>
      </w:r>
      <w:r>
        <w:t xml:space="preserve"> </w:t>
      </w:r>
      <w:r>
        <w:t xml:space="preserve">While the modulation of cold perception was specific for TGI, increased warmth was reported irrespective of whether the cold thermode was paired with a warm (TGI stimuli) or neutral temperature (non-TGI stimuli) within a dermatome.</w:t>
      </w:r>
      <w:r>
        <w:t xml:space="preserve"> </w:t>
      </w:r>
      <w:r>
        <w:t xml:space="preserve">Overall, these findings are in line with the notion that TGI can be considered a misperception of cold</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fardo_beyond_2020">
        <w:r>
          <w:rPr>
            <w:rStyle w:val="Hyperlink"/>
          </w:rPr>
          <w:t xml:space="preserve">Fardo et al. 2020</w:t>
        </w:r>
      </w:hyperlink>
      <w:r>
        <w:t xml:space="preserve">)</w:t>
      </w:r>
      <w:r>
        <w:t xml:space="preserve">.</w:t>
      </w:r>
    </w:p>
    <w:p>
      <w:pPr>
        <w:pStyle w:val="BodyText"/>
      </w:pPr>
      <w:r>
        <w:t xml:space="preserve">When rating the warm thermode (Exp. 2, Fig. 2B), participants reported markedly enhanced burning sensations for TGI, but not non-TGI, stimuli applied within a dermatome compared to across dermatomes (stimulation by dermatome interaction:</w:t>
      </w:r>
      <w:r>
        <w:t xml:space="preserve"> </w:t>
      </w:r>
      <m:oMath>
        <m:r>
          <m:t>β</m:t>
        </m:r>
      </m:oMath>
      <w:r>
        <w:t xml:space="preserve"> </w:t>
      </w:r>
      <w:r>
        <w:t xml:space="preserve">= 0.21, p &lt; .001).</w:t>
      </w:r>
      <w:r>
        <w:t xml:space="preserve"> </w:t>
      </w:r>
      <w:r>
        <w:t xml:space="preserve">However, we did not observe modulation of cold (stimulation by dermatome interaction: n</w:t>
      </w:r>
      <m:oMath>
        <m:r>
          <m:t>β</m:t>
        </m:r>
      </m:oMath>
      <w:r>
        <w:t xml:space="preserve"> </w:t>
      </w:r>
      <w:r>
        <w:t xml:space="preserve">= 0.08, p = 0.28; dermatome main effect:</w:t>
      </w:r>
      <w:r>
        <w:t xml:space="preserve"> </w:t>
      </w:r>
      <m:oMath>
        <m:r>
          <m:t>β</m:t>
        </m:r>
      </m:oMath>
      <w:r>
        <w:t xml:space="preserve"> </w:t>
      </w:r>
      <w:r>
        <w:t xml:space="preserve">= 0.01, p = 0.83) or warm ratings (stimulation by dermatome interaction:</w:t>
      </w:r>
      <w:r>
        <w:t xml:space="preserve"> </w:t>
      </w:r>
      <m:oMath>
        <m:r>
          <m:t>β</m:t>
        </m:r>
      </m:oMath>
      <w:r>
        <w:t xml:space="preserve"> </w:t>
      </w:r>
      <w:r>
        <w:t xml:space="preserve">= 0.07, p = 0.16; dermatome main effect:</w:t>
      </w:r>
      <w:r>
        <w:t xml:space="preserve"> </w:t>
      </w:r>
      <m:oMath>
        <m:r>
          <m:t>β</m:t>
        </m:r>
      </m:oMath>
      <w:r>
        <w:t xml:space="preserve"> </w:t>
      </w:r>
      <w:r>
        <w:t xml:space="preserve">= -0.04, p = 0.28) according to the within-across dermatome manipulation.</w:t>
      </w:r>
      <w:r>
        <w:t xml:space="preserve"> </w:t>
      </w:r>
      <w:r>
        <w:t xml:space="preserve">Overall, these results indicated that when participants assessed the warm thermode, the greatest modulation in TGI perception was related to burning sensations, with within-dermatome TGI stimuli perceived as the most burning.</w:t>
      </w:r>
    </w:p>
    <w:p>
      <w:pPr>
        <w:pStyle w:val="BodyText"/>
      </w:pPr>
      <w:r>
        <w:t xml:space="preserve">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w:t>
      </w:r>
      <w:r>
        <w:t xml:space="preserve"> </w:t>
      </w:r>
      <w:r>
        <w:t xml:space="preserve">This interpretation is consistent with a previous study using a similar dermatome manipulation, but a distinct method to quantify TGI perception</w:t>
      </w:r>
      <w:r>
        <w:t xml:space="preserve"> </w:t>
      </w:r>
      <w:r>
        <w:t xml:space="preserve">(</w:t>
      </w:r>
      <w:hyperlink w:anchor="ref-fardo_organization_2018">
        <w:r>
          <w:rPr>
            <w:rStyle w:val="Hyperlink"/>
          </w:rPr>
          <w:t xml:space="preserve">Fardo, Finnerup, and Haggard 2018</w:t>
        </w:r>
      </w:hyperlink>
      <w:r>
        <w:t xml:space="preserve">)</w:t>
      </w:r>
      <w:r>
        <w:t xml:space="preserve">, as well as another study showing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All together these results support the role of spinal processes in the generation of distinct perceptual aspects of the TGI, and highlight the importance of the reference stimulus when assessing thermosensory and burning components of TGI perception.</w:t>
      </w:r>
    </w:p>
    <w:bookmarkEnd w:id="30"/>
    <w:bookmarkStart w:id="34" w:name="proximodistal-bias-in-cold-perception"/>
    <w:p>
      <w:pPr>
        <w:pStyle w:val="Heading2"/>
      </w:pPr>
      <w:r>
        <w:t xml:space="preserve">Proximodistal bias in cold perception</w:t>
      </w:r>
    </w:p>
    <w:p>
      <w:pPr>
        <w:pStyle w:val="FirstParagraph"/>
      </w:pPr>
      <w:r>
        <w:t xml:space="preserve">Previous research demonstrated a phenomenon known as distal inhibition, wherein heat pain ratings tend to increase when a participant evaluates a more distal compared to a more proximal stimulus among two heat stimuli</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w:t>
      </w:r>
      <w:r>
        <w:t xml:space="preserve"> </w:t>
      </w:r>
      <w:r>
        <w:t xml:space="preserve">We tested the occurence of this distal inhibition effect to the perception of mild temperatures in TGI and non-TGI stimuli within single dermatomes (Fig. 3).</w:t>
      </w:r>
      <w:r>
        <w:t xml:space="preserve"> </w:t>
      </w:r>
      <w:r>
        <w:t xml:space="preserve">We found that cold perception was modulated by the proximodistal location of the reference thermode, with enhanced cold ratings when the reference thermode was located more proximally, irrespective of whether the stimulus was TGI or non-TGI, in both Exp. 1 (stimulation by dermatome interaction:</w:t>
      </w:r>
      <w:r>
        <w:t xml:space="preserve"> </w:t>
      </w:r>
      <m:oMath>
        <m:r>
          <m:t>β</m:t>
        </m:r>
      </m:oMath>
      <w:r>
        <w:t xml:space="preserve"> </w:t>
      </w:r>
      <w:r>
        <w:t xml:space="preserve">= -0.08, p = 0.3; dermatome main effect:</w:t>
      </w:r>
      <w:r>
        <w:t xml:space="preserve"> </w:t>
      </w:r>
      <m:oMath>
        <m:r>
          <m:t>β</m:t>
        </m:r>
      </m:oMath>
      <w:r>
        <w:t xml:space="preserve"> </w:t>
      </w:r>
      <w:r>
        <w:t xml:space="preserve">= -0.18, p &lt; .001) and Exp. 2 (stimulation by dermatome interaction:</w:t>
      </w:r>
      <w:r>
        <w:t xml:space="preserve"> </w:t>
      </w:r>
      <m:oMath>
        <m:r>
          <m:t>β</m:t>
        </m:r>
      </m:oMath>
      <w:r>
        <w:t xml:space="preserve"> </w:t>
      </w:r>
      <w:r>
        <w:t xml:space="preserve">= 0.10, p = 0.34; dermatome main effect:</w:t>
      </w:r>
      <w:r>
        <w:t xml:space="preserve"> </w:t>
      </w:r>
      <m:oMath>
        <m:r>
          <m:t>β</m:t>
        </m:r>
      </m:oMath>
      <w:r>
        <w:t xml:space="preserve"> </w:t>
      </w:r>
      <w:r>
        <w:t xml:space="preserve">= -0.18, p &lt; .05 ).</w:t>
      </w:r>
      <w:r>
        <w:t xml:space="preserve"> </w:t>
      </w:r>
      <w:r>
        <w:t xml:space="preserve">These findings suggest that the notion of distal inhibition can be extended to innocuous cold perception.</w:t>
      </w:r>
    </w:p>
    <w:p>
      <w:pPr>
        <w:pStyle w:val="CaptionedFigure"/>
      </w:pPr>
      <w:r>
        <w:drawing>
          <wp:inline>
            <wp:extent cx="5943600" cy="4128694"/>
            <wp:effectExtent b="0" l="0" r="0" t="0"/>
            <wp:docPr descr="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 title="" id="32" name="Picture"/>
            <a:graphic>
              <a:graphicData uri="http://schemas.openxmlformats.org/drawingml/2006/picture">
                <pic:pic>
                  <pic:nvPicPr>
                    <pic:cNvPr descr="Manuscript_files/figure-docx/unnamed-chunk-4-1.png" id="33" name="Picture"/>
                    <pic:cNvPicPr>
                      <a:picLocks noChangeArrowheads="1" noChangeAspect="1"/>
                    </pic:cNvPicPr>
                  </pic:nvPicPr>
                  <pic:blipFill>
                    <a:blip r:embed="rId31"/>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w:t>
      </w:r>
    </w:p>
    <w:bookmarkEnd w:id="34"/>
    <w:bookmarkStart w:id="35"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We delivered an equal number of trials in which the cold stimulus was applied on a dermatome that mapped more rostrally or caudally compared to the warm or neutral stimuli, in the across dermatome condition.</w:t>
      </w:r>
      <w:r>
        <w:t xml:space="preserve"> </w:t>
      </w:r>
      <w:r>
        <w:t xml:space="preserve">When rating either the cold thermode (Exp. 1, Fig. 4A) or the warm thermode (Exp.2, Fig. 4B), participants reported a reduced subjective experience of cold, alongside an enhanced perception of warmth when the cold thermode was applied on a dermatome that mapped onto a more caudal segment.</w:t>
      </w:r>
      <w:r>
        <w:t xml:space="preserve"> </w:t>
      </w:r>
      <w:r>
        <w:t xml:space="preserve">In Exp. 1, the modulation of thermosensory ratings corresponded to significant rostralcaudal main effects for both cold ratings (stimulation by rostrocaudal location interaction:</w:t>
      </w:r>
      <w:r>
        <w:t xml:space="preserve"> </w:t>
      </w:r>
      <m:oMath>
        <m:r>
          <m:t>β</m:t>
        </m:r>
      </m:oMath>
      <w:r>
        <w:t xml:space="preserve"> </w:t>
      </w:r>
      <w:r>
        <w:t xml:space="preserve">= -0.10, p = 0.19; rostrocaudal main effect:</w:t>
      </w:r>
      <w:r>
        <w:t xml:space="preserve"> </w:t>
      </w:r>
      <m:oMath>
        <m:r>
          <m:t>β</m:t>
        </m:r>
      </m:oMath>
      <w:r>
        <w:t xml:space="preserve"> </w:t>
      </w:r>
      <w:r>
        <w:t xml:space="preserve">= -0.15, p &lt; .01), and warm ratings (stimulation by rostrocaudal location interaction:</w:t>
      </w:r>
      <w:r>
        <w:t xml:space="preserve"> </w:t>
      </w:r>
      <m:oMath>
        <m:r>
          <m:t>β</m:t>
        </m:r>
      </m:oMath>
      <w:r>
        <w:t xml:space="preserve"> </w:t>
      </w:r>
      <w:r>
        <w:t xml:space="preserve">= 0.06, p = 0.65; rostrocaudal main effect:</w:t>
      </w:r>
      <w:r>
        <w:t xml:space="preserve"> </w:t>
      </w:r>
      <m:oMath>
        <m:r>
          <m:t>β</m:t>
        </m:r>
      </m:oMath>
      <w:r>
        <w:t xml:space="preserve"> </w:t>
      </w:r>
      <w:r>
        <w:t xml:space="preserve">= 0.21, p &lt; .05 ).</w:t>
      </w:r>
      <w:r>
        <w:t xml:space="preserve"> </w:t>
      </w:r>
      <w:r>
        <w:t xml:space="preserve">In Exp. 2, the modulation of cold ratings was specific for TGI stimuli (stimulation by rostrocaudal location interaction:</w:t>
      </w:r>
      <w:r>
        <w:t xml:space="preserve"> </w:t>
      </w:r>
      <m:oMath>
        <m:r>
          <m:t>β</m:t>
        </m:r>
      </m:oMath>
      <w:r>
        <w:t xml:space="preserve"> </w:t>
      </w:r>
      <w:r>
        <w:t xml:space="preserve">= -0.23, p &lt; .05 ), while the modulation of warm ratings was significant irrespective of stimulation type (stimulation by rostrocaudal interaction:</w:t>
      </w:r>
      <w:r>
        <w:t xml:space="preserve"> </w:t>
      </w:r>
      <m:oMath>
        <m:r>
          <m:t>β</m:t>
        </m:r>
      </m:oMath>
      <w:r>
        <w:t xml:space="preserve"> </w:t>
      </w:r>
      <w:r>
        <w:t xml:space="preserve">= 0.01, p = 0.94); rostrocaudal main effect:</w:t>
      </w:r>
      <w:r>
        <w:t xml:space="preserve"> </w:t>
      </w:r>
      <m:oMath>
        <m:r>
          <m:t>β</m:t>
        </m:r>
      </m:oMath>
      <w:r>
        <w:t xml:space="preserve"> </w:t>
      </w:r>
      <w:r>
        <w:t xml:space="preserve">= 0.19, p &lt; .001).</w:t>
      </w:r>
      <w:r>
        <w:t xml:space="preserve"> </w:t>
      </w:r>
      <w:r>
        <w:t xml:space="preserve">We observed no modulation of burning ratings depending on the rostrocaudal mapping of cold-related activity in either Exp. 1 (stimulation by rostrocaudal location:</w:t>
      </w:r>
      <w:r>
        <w:t xml:space="preserve"> </w:t>
      </w:r>
      <m:oMath>
        <m:r>
          <m:t>β</m:t>
        </m:r>
      </m:oMath>
      <w:r>
        <w:t xml:space="preserve"> </w:t>
      </w:r>
      <w:r>
        <w:t xml:space="preserve">= 0.06, p = 0.54; rostrocaudal main effect (</w:t>
      </w:r>
      <m:oMath>
        <m:r>
          <m:t>β</m:t>
        </m:r>
      </m:oMath>
      <w:r>
        <w:t xml:space="preserve"> </w:t>
      </w:r>
      <w:r>
        <w:t xml:space="preserve">= -0.12, p = 0.11) or Exp. 2 (stimulation by rostrocaudal location:</w:t>
      </w:r>
      <w:r>
        <w:t xml:space="preserve"> </w:t>
      </w:r>
      <m:oMath>
        <m:r>
          <m:t>β</m:t>
        </m:r>
      </m:oMath>
      <w:r>
        <w:t xml:space="preserve"> </w:t>
      </w:r>
      <w:r>
        <w:t xml:space="preserve">= -0.14, p = 0.1); rostrocaudal main effect:</w:t>
      </w:r>
      <w:r>
        <w:t xml:space="preserve"> </w:t>
      </w:r>
      <m:oMath>
        <m:r>
          <m:t>β</m:t>
        </m:r>
      </m:oMath>
      <w:r>
        <w:t xml:space="preserve"> </w:t>
      </w:r>
      <w:r>
        <w:t xml:space="preserve">= 0.17, p &lt; .01).</w:t>
      </w:r>
      <w:r>
        <w:t xml:space="preserve"> </w:t>
      </w:r>
      <w:r>
        <w:t xml:space="preserve">The results indicated a notably enhanced TGI effect when the cold stimulus induced more caudal activity within the spinal cord.</w:t>
      </w:r>
      <w:r>
        <w:t xml:space="preserve"> </w:t>
      </w:r>
      <w:r>
        <w:t xml:space="preserve">While reduced cold perception was specific for TGI stimuli, participants reported enhanced warm perception irrespective of stimulation type.</w:t>
      </w:r>
    </w:p>
    <w:bookmarkEnd w:id="35"/>
    <w:bookmarkStart w:id="39" w:name="section"/>
    <w:p>
      <w:pPr>
        <w:pStyle w:val="Heading2"/>
      </w:pPr>
    </w:p>
    <w:p>
      <w:pPr>
        <w:pStyle w:val="CaptionedFigure"/>
      </w:pPr>
      <w:r>
        <w:drawing>
          <wp:inline>
            <wp:extent cx="5943600" cy="4128694"/>
            <wp:effectExtent b="0" l="0" r="0" t="0"/>
            <wp:docPr descr="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title="" id="37" name="Picture"/>
            <a:graphic>
              <a:graphicData uri="http://schemas.openxmlformats.org/drawingml/2006/picture">
                <pic:pic>
                  <pic:nvPicPr>
                    <pic:cNvPr descr="Manuscript_files/figure-docx/unnamed-chunk-5-1.png" id="38" name="Picture"/>
                    <pic:cNvPicPr>
                      <a:picLocks noChangeArrowheads="1" noChangeAspect="1"/>
                    </pic:cNvPicPr>
                  </pic:nvPicPr>
                  <pic:blipFill>
                    <a:blip r:embed="rId36"/>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w:t>
      </w:r>
    </w:p>
    <w:bookmarkEnd w:id="39"/>
    <w:bookmarkStart w:id="40"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reduced cold, enhanced heat and burning sensations when thermosensory integration takes place more focally within a few spinal segments, and (2) discernible directional inter-segmental effects when distinct cold and warm stimuli elicited a differential spatial pattern of neural activity along several spinal cord segments.</w:t>
      </w:r>
    </w:p>
    <w:p>
      <w:pPr>
        <w:pStyle w:val="BodyText"/>
      </w:pP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r>
        <w:t xml:space="preserve"> </w:t>
      </w: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w:t>
      </w:r>
      <w:r>
        <w:t xml:space="preserve">.</w:t>
      </w:r>
      <w:r>
        <w:t xml:space="preserve"> </w:t>
      </w: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w:t>
      </w:r>
      <w:r>
        <w:t xml:space="preserve"> </w:t>
      </w:r>
      <w:r>
        <w:t xml:space="preserve">These circuits, created by propriospinal neurons, may promote sensory integration within a spinal receptive field while simultaneously inhibiting activity in adjacent fields.</w:t>
      </w:r>
      <w:r>
        <w:t xml:space="preserve"> </w:t>
      </w:r>
      <w:r>
        <w:t xml:space="preserve">This mechanism aligns with the concept of lateral inhibition, a ubiquitous process in sensory processing across both the peripheral and central nervous systems, and multiple sensory modalities, including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Further, our observation that spatial factors, such as the more caudal mapping of a cold stimulus relative to a warm stimulus in the spinal cord, influences TGI perception, suggests possible neuroanatomical and functional asymmetries.</w:t>
      </w:r>
      <w:r>
        <w:t xml:space="preserve"> </w:t>
      </w:r>
      <w:r>
        <w:t xml:space="preserve">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w:t>
      </w:r>
      <w:r>
        <w:t xml:space="preserve"> </w:t>
      </w:r>
      <w:r>
        <w:t xml:space="preserve">Additional research is needed to illuminate the specific anatomical and functional features of the spinal cord that resulted in the observed effects of this study.</w:t>
      </w:r>
    </w:p>
    <w:bookmarkEnd w:id="40"/>
    <w:bookmarkEnd w:id="41"/>
    <w:bookmarkStart w:id="42"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the illusory pain within the TGI.</w:t>
      </w:r>
      <w:r>
        <w:t xml:space="preserve"> </w:t>
      </w:r>
      <w:r>
        <w:t xml:space="preserve">Additionally, we reported findings on directional inter-segmental effects in spinal integration underlying TGI.</w:t>
      </w:r>
      <w:r>
        <w:t xml:space="preserve"> </w:t>
      </w:r>
      <w:r>
        <w:t xml:space="preserve">Further research is needed to elucidate the neuroanatomical and functional properties of the spinal cord, as well as the intricate interplay between supraspinal and spinal processes, that give rise to TGI perception.</w:t>
      </w:r>
    </w:p>
    <w:p>
      <w:r>
        <w:br w:type="page"/>
      </w:r>
    </w:p>
    <w:bookmarkEnd w:id="42"/>
    <w:bookmarkStart w:id="50" w:name="methods"/>
    <w:p>
      <w:pPr>
        <w:pStyle w:val="Heading1"/>
      </w:pPr>
      <w:r>
        <w:t xml:space="preserve">Methods</w:t>
      </w:r>
    </w:p>
    <w:bookmarkStart w:id="43"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The sample consisted of 27 females and 13 males, mean age = 25.38 years old (SD = 4.67, range = 18 - 36) in Experiment 1, and 25 females and 14 males and 1 non-binary (Female at birth), mean age = 25.73 years old (SD = 4.12, range = 21 - 39), in Experiment 2.</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43"/>
    <w:bookmarkStart w:id="44"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w:t>
      </w:r>
      <w:r>
        <w:t xml:space="preserve"> </w:t>
      </w: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r>
        <w:t xml:space="preserve"> </w:t>
      </w: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(i.e.,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(Fardo et al., 2018)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or the lower back.</w:t>
      </w:r>
      <w:r>
        <w:t xml:space="preserve"> </w:t>
      </w:r>
      <w:r>
        <w:t xml:space="preserve">The possible spatial arrangements corresponded to the four conditions depicted in Figure 1.</w:t>
      </w:r>
      <w:r>
        <w:t xml:space="preserve"> </w:t>
      </w:r>
      <w:r>
        <w:t xml:space="preserve">The order of the stimuli (TGI vs. non-TGI), the dermatome condition (within vs. across) and the relative placement of the colder temperature (proximal vs. distal or rostral vs. caudal) were pseudo-randomised and counterbalanced between participants.</w:t>
      </w:r>
      <w:r>
        <w:t xml:space="preserve"> </w:t>
      </w:r>
      <w:r>
        <w:t xml:space="preserve">During each trial, the experimenter positioned two thermodes, mounted on a stand using two independent clamps, on the participant’s skin for 10 seconds.</w:t>
      </w:r>
      <w:r>
        <w:t xml:space="preserve"> </w:t>
      </w:r>
      <w:r>
        <w:t xml:space="preserve">An auditory cue (300Hz, 100ms) indicated the end of the stimulation period, after which the experimenter removed the thermodes from the participant’s skin.</w:t>
      </w:r>
      <w:r>
        <w:t xml:space="preserve"> </w:t>
      </w:r>
      <w:r>
        <w:t xml:space="preserve">Participants then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Participants had max 8 seconds to provide each rating, and if they did not complete a rating within the allowed timeframe, the trial was repeated.</w:t>
      </w:r>
      <w:r>
        <w:t xml:space="preserve"> </w:t>
      </w:r>
      <w:r>
        <w:t xml:space="preserve">Following the completion of the last of the three VAS ratings, we presented a 200 ms fixation dot.</w:t>
      </w:r>
      <w:r>
        <w:t xml:space="preserve"> </w:t>
      </w:r>
      <w:r>
        <w:t xml:space="preserve">Each thermode configuration was tested three consecutive times, on three different skin locations.</w:t>
      </w:r>
      <w:r>
        <w:t xml:space="preserve"> </w:t>
      </w:r>
      <w:r>
        <w:t xml:space="preserve">An auditory tone of 500Hz lasting 100ms was played to indicate to the experimenter when to rearrange the thermode configuration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ensured that the same skin locations were not stimulated consecutively to minimise carry-over effects.</w:t>
      </w:r>
      <w:r>
        <w:t xml:space="preserve"> </w:t>
      </w: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w:t>
      </w:r>
      <w:r>
        <w:t xml:space="preserve"> </w:t>
      </w:r>
      <w:r>
        <w:t xml:space="preserve">In Experiment 2, participants rated the sensations localised underneath the warmer thermode, and the non-TGI stimuli corresponded to warm-neutral pairs.</w:t>
      </w:r>
    </w:p>
    <w:bookmarkEnd w:id="44"/>
    <w:bookmarkStart w:id="45" w:name="sample-size"/>
    <w:p>
      <w:pPr>
        <w:pStyle w:val="Heading2"/>
      </w:pPr>
      <w:r>
        <w:t xml:space="preserve">Sample size</w:t>
      </w:r>
    </w:p>
    <w:p>
      <w:pPr>
        <w:pStyle w:val="FirstParagraph"/>
      </w:pPr>
      <w:r>
        <w:t xml:space="preserve">An initial pilot study informed the pre-registered calculation of the sample size.</w:t>
      </w:r>
      <w:r>
        <w:t xml:space="preserve"> </w:t>
      </w:r>
      <w:r>
        <w:t xml:space="preserve">To test the directional TGI hypothesis with 95% power and detect an effect size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(xx-xx).</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w:t>
      </w:r>
      <w:r>
        <w:t xml:space="preserve"> </w:t>
      </w:r>
      <w:r>
        <w:t xml:space="preserve">In Experiment 2, we stopped recruitment once we collected data from 40 participants.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45"/>
    <w:bookmarkStart w:id="49"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w:t>
      </w:r>
      <w:r>
        <w:t xml:space="preserve"> </w:t>
      </w:r>
      <w:r>
        <w:t xml:space="preserve">These included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These choices allowed us to assess the individual and interactive effects of these three factors on VAS ratings.</w:t>
      </w:r>
      <w:r>
        <w:t xml:space="preserve"> </w:t>
      </w:r>
      <w:r>
        <w:t xml:space="preserve">Further, we added random intercepts to our models to account for between-subject variability and the effects of repeated measures.</w:t>
      </w:r>
      <w:r>
        <w:t xml:space="preserve"> </w:t>
      </w:r>
      <w:r>
        <w:t xml:space="preserve">The variables introduced as random intercepts included the participant ID, the counterbalancing order and the trial number.</w:t>
      </w:r>
      <w:r>
        <w:t xml:space="preserve"> </w:t>
      </w: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w:t>
      </w:r>
      <w:r>
        <w:t xml:space="preserve"> </w:t>
      </w:r>
      <w:r>
        <w:t xml:space="preserve">The experimental procedure, power analyses to determine sample size and statistical approach were preregistered for both</w:t>
      </w:r>
      <w:r>
        <w:t xml:space="preserve"> </w:t>
      </w:r>
      <w:hyperlink r:id="rId46">
        <w:r>
          <w:rPr>
            <w:rStyle w:val="Hyperlink"/>
          </w:rPr>
          <w:t xml:space="preserve">Experiment 1</w:t>
        </w:r>
      </w:hyperlink>
      <w:r>
        <w:t xml:space="preserve"> </w:t>
      </w:r>
      <w:r>
        <w:t xml:space="preserve">and</w:t>
      </w:r>
      <w:r>
        <w:t xml:space="preserve"> </w:t>
      </w:r>
      <w:hyperlink r:id="rId47">
        <w:r>
          <w:rPr>
            <w:rStyle w:val="Hyperlink"/>
          </w:rPr>
          <w:t xml:space="preserve">Experiment 2</w:t>
        </w:r>
      </w:hyperlink>
      <w:r>
        <w:t xml:space="preserve">.</w:t>
      </w:r>
      <w:r>
        <w:t xml:space="preserve"> </w:t>
      </w:r>
      <w:r>
        <w:t xml:space="preserve">All data and code for the analysis are available in the</w:t>
      </w:r>
      <w:r>
        <w:t xml:space="preserve"> </w:t>
      </w:r>
      <w:hyperlink r:id="rId48">
        <w:r>
          <w:rPr>
            <w:rStyle w:val="Hyperlink"/>
          </w:rPr>
          <w:t xml:space="preserve">github repository</w:t>
        </w:r>
      </w:hyperlink>
      <w:r>
        <w:t xml:space="preserve">, ensuring the reproducibility of our findings.</w:t>
      </w:r>
    </w:p>
    <w:p>
      <w:r>
        <w:br w:type="page"/>
      </w:r>
    </w:p>
    <w:bookmarkEnd w:id="49"/>
    <w:bookmarkEnd w:id="50"/>
    <w:bookmarkStart w:id="52"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51">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JEF,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FF, AGM.</w:t>
      </w:r>
    </w:p>
    <w:p>
      <w:pPr>
        <w:numPr>
          <w:ilvl w:val="0"/>
          <w:numId w:val="1001"/>
        </w:numPr>
        <w:pStyle w:val="Compact"/>
      </w:pPr>
      <w:r>
        <w:t xml:space="preserve">Writing – original draft: FF, AGM.</w:t>
      </w:r>
    </w:p>
    <w:p>
      <w:pPr>
        <w:numPr>
          <w:ilvl w:val="0"/>
          <w:numId w:val="1001"/>
        </w:numPr>
        <w:pStyle w:val="Compact"/>
      </w:pPr>
      <w:r>
        <w:t xml:space="preserve">Writing – review &amp; editing: FF, AGM. (+ others who will provide feedback)</w:t>
      </w:r>
    </w:p>
    <w:bookmarkEnd w:id="52"/>
    <w:bookmarkStart w:id="53" w:name="acknowledgements"/>
    <w:p>
      <w:pPr>
        <w:pStyle w:val="Heading1"/>
      </w:pPr>
      <w:r>
        <w:t xml:space="preserve">Acknowledgements</w:t>
      </w:r>
    </w:p>
    <w:p>
      <w:pPr>
        <w:pStyle w:val="FirstParagraph"/>
      </w:pPr>
      <w:r>
        <w:t xml:space="preserve">We would like to thank XXX for their help with participant recruitment and data collection.</w:t>
      </w:r>
      <w:r>
        <w:t xml:space="preserve"> </w:t>
      </w:r>
      <w:r>
        <w:t xml:space="preserve">This study was supported by a European Research Council Starting Grant (ERC-2020-StG-948788).</w:t>
      </w:r>
    </w:p>
    <w:p>
      <w:r>
        <w:br w:type="page"/>
      </w:r>
    </w:p>
    <w:bookmarkEnd w:id="53"/>
    <w:bookmarkStart w:id="119" w:name="references"/>
    <w:p>
      <w:pPr>
        <w:pStyle w:val="Heading1"/>
      </w:pPr>
      <w:r>
        <w:t xml:space="preserve">References</w:t>
      </w:r>
    </w:p>
    <w:bookmarkStart w:id="118" w:name="refs"/>
    <w:bookmarkStart w:id="55"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54">
        <w:r>
          <w:rPr>
            <w:rStyle w:val="Hyperlink"/>
          </w:rPr>
          <w:t xml:space="preserve">https://doi.org/10.1016/j.pain.2014.09.026</w:t>
        </w:r>
      </w:hyperlink>
      <w:r>
        <w:t xml:space="preserve">.</w:t>
      </w:r>
    </w:p>
    <w:bookmarkEnd w:id="55"/>
    <w:bookmarkStart w:id="57"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6">
        <w:r>
          <w:rPr>
            <w:rStyle w:val="Hyperlink"/>
          </w:rPr>
          <w:t xml:space="preserve">https://doi.org/10.1097/j.pain.0000000000002069</w:t>
        </w:r>
      </w:hyperlink>
      <w:r>
        <w:t xml:space="preserve">.</w:t>
      </w:r>
    </w:p>
    <w:bookmarkEnd w:id="57"/>
    <w:bookmarkStart w:id="59"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8">
        <w:r>
          <w:rPr>
            <w:rStyle w:val="Hyperlink"/>
          </w:rPr>
          <w:t xml:space="preserve">https://doi.org/10.1016/j.neulet.2011.09.061</w:t>
        </w:r>
      </w:hyperlink>
      <w:r>
        <w:t xml:space="preserve">.</w:t>
      </w:r>
    </w:p>
    <w:bookmarkEnd w:id="59"/>
    <w:bookmarkStart w:id="61"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60">
        <w:r>
          <w:rPr>
            <w:rStyle w:val="Hyperlink"/>
          </w:rPr>
          <w:t xml:space="preserve">https://doi.org/10.1152/jappl.1962.17.6.1003</w:t>
        </w:r>
      </w:hyperlink>
      <w:r>
        <w:t xml:space="preserve">.</w:t>
      </w:r>
    </w:p>
    <w:bookmarkEnd w:id="61"/>
    <w:bookmarkStart w:id="63"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62">
        <w:r>
          <w:rPr>
            <w:rStyle w:val="Hyperlink"/>
          </w:rPr>
          <w:t xml:space="preserve">https://doi.org/10.1016/j.pain.2004.12.014</w:t>
        </w:r>
      </w:hyperlink>
      <w:r>
        <w:t xml:space="preserve">.</w:t>
      </w:r>
    </w:p>
    <w:bookmarkEnd w:id="63"/>
    <w:bookmarkStart w:id="65" w:name="ref-craig_new_1998"/>
    <w:p>
      <w:pPr>
        <w:pStyle w:val="Bibliography"/>
      </w:pPr>
      <w:r>
        <w:t xml:space="preserve">Craig, A. 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64">
        <w:r>
          <w:rPr>
            <w:rStyle w:val="Hyperlink"/>
          </w:rPr>
          <w:t xml:space="preserve">https://doi.org/10.1016/S1082-3174(98)70004-2</w:t>
        </w:r>
      </w:hyperlink>
      <w:r>
        <w:t xml:space="preserve">.</w:t>
      </w:r>
    </w:p>
    <w:bookmarkEnd w:id="65"/>
    <w:bookmarkStart w:id="67"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w:t>
      </w:r>
      <w:r>
        <w:t xml:space="preserve"> </w:t>
      </w:r>
      <w:r>
        <w:t xml:space="preserve">265 (5169): 252–55.</w:t>
      </w:r>
      <w:r>
        <w:t xml:space="preserve"> </w:t>
      </w:r>
      <w:hyperlink r:id="rId66">
        <w:r>
          <w:rPr>
            <w:rStyle w:val="Hyperlink"/>
          </w:rPr>
          <w:t xml:space="preserve">https://doi.org/10.1126/science.8023144</w:t>
        </w:r>
      </w:hyperlink>
      <w:r>
        <w:t xml:space="preserve">.</w:t>
      </w:r>
    </w:p>
    <w:bookmarkEnd w:id="67"/>
    <w:bookmarkStart w:id="69"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8">
        <w:r>
          <w:rPr>
            <w:rStyle w:val="Hyperlink"/>
          </w:rPr>
          <w:t xml:space="preserve">https://doi.org/10.1038/384258a0</w:t>
        </w:r>
      </w:hyperlink>
      <w:r>
        <w:t xml:space="preserve">.</w:t>
      </w:r>
    </w:p>
    <w:bookmarkEnd w:id="69"/>
    <w:bookmarkStart w:id="71"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70">
        <w:r>
          <w:rPr>
            <w:rStyle w:val="Hyperlink"/>
          </w:rPr>
          <w:t xml:space="preserve">https://doi.org/10.1016/j.pain.2008.02.012</w:t>
        </w:r>
      </w:hyperlink>
      <w:r>
        <w:t xml:space="preserve">.</w:t>
      </w:r>
    </w:p>
    <w:bookmarkEnd w:id="71"/>
    <w:bookmarkStart w:id="73"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72">
        <w:r>
          <w:rPr>
            <w:rStyle w:val="Hyperlink"/>
          </w:rPr>
          <w:t xml:space="preserve">https://doi.org/10.1016/j.neubiorev.2019.11.017</w:t>
        </w:r>
      </w:hyperlink>
      <w:r>
        <w:t xml:space="preserve">.</w:t>
      </w:r>
    </w:p>
    <w:bookmarkEnd w:id="73"/>
    <w:bookmarkStart w:id="75" w:name="ref-fardo_organization_2018"/>
    <w:p>
      <w:pPr>
        <w:pStyle w:val="Bibliography"/>
      </w:pPr>
      <w:r>
        <w:t xml:space="preserve">Fardo, Francesca, Nanna Brix Finnerup, and Patrick Haggard. 2018.</w:t>
      </w:r>
      <w:r>
        <w:t xml:space="preserve"> </w:t>
      </w:r>
      <w:r>
        <w:t xml:space="preserve">“Organization of the Thermal Grill Illusion by Spinal Segments.”</w:t>
      </w:r>
      <w:r>
        <w:t xml:space="preserve"> </w:t>
      </w:r>
      <w:r>
        <w:rPr>
          <w:iCs/>
          <w:i/>
        </w:rPr>
        <w:t xml:space="preserve">Annals of Neurology</w:t>
      </w:r>
      <w:r>
        <w:t xml:space="preserve"> </w:t>
      </w:r>
      <w:r>
        <w:t xml:space="preserve">84 (3): 463–72.</w:t>
      </w:r>
      <w:r>
        <w:t xml:space="preserve"> </w:t>
      </w:r>
      <w:hyperlink r:id="rId74">
        <w:r>
          <w:rPr>
            <w:rStyle w:val="Hyperlink"/>
          </w:rPr>
          <w:t xml:space="preserve">https://doi.org/10.1002/ana.25307</w:t>
        </w:r>
      </w:hyperlink>
      <w:r>
        <w:t xml:space="preserve">.</w:t>
      </w:r>
    </w:p>
    <w:bookmarkEnd w:id="75"/>
    <w:bookmarkStart w:id="77"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6">
        <w:r>
          <w:rPr>
            <w:rStyle w:val="Hyperlink"/>
          </w:rPr>
          <w:t xml:space="preserve">https://doi.org/10.1038/s41598-018-24635-1</w:t>
        </w:r>
      </w:hyperlink>
      <w:r>
        <w:t xml:space="preserve">.</w:t>
      </w:r>
    </w:p>
    <w:bookmarkEnd w:id="77"/>
    <w:bookmarkStart w:id="79"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w:t>
      </w:r>
      <w:r>
        <w:t xml:space="preserve"> </w:t>
      </w:r>
      <w:r>
        <w:t xml:space="preserve">7 (1): 63–71.</w:t>
      </w:r>
      <w:r>
        <w:t xml:space="preserve"> </w:t>
      </w:r>
      <w:hyperlink r:id="rId78">
        <w:r>
          <w:rPr>
            <w:rStyle w:val="Hyperlink"/>
          </w:rPr>
          <w:t xml:space="preserve">https://doi.org/10.1016/s1090-3801(02)00056-3</w:t>
        </w:r>
      </w:hyperlink>
      <w:r>
        <w:t xml:space="preserve">.</w:t>
      </w:r>
    </w:p>
    <w:bookmarkEnd w:id="79"/>
    <w:bookmarkStart w:id="81"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80">
        <w:r>
          <w:rPr>
            <w:rStyle w:val="Hyperlink"/>
          </w:rPr>
          <w:t xml:space="preserve">https://doi.org/10.3758/BF03199698</w:t>
        </w:r>
      </w:hyperlink>
      <w:r>
        <w:t xml:space="preserve">.</w:t>
      </w:r>
    </w:p>
    <w:bookmarkEnd w:id="81"/>
    <w:bookmarkStart w:id="83"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82">
        <w:r>
          <w:rPr>
            <w:rStyle w:val="Hyperlink"/>
          </w:rPr>
          <w:t xml:space="preserve">https://doi.org/10.1080/08990220220220131524</w:t>
        </w:r>
      </w:hyperlink>
      <w:r>
        <w:t xml:space="preserve">.</w:t>
      </w:r>
    </w:p>
    <w:bookmarkEnd w:id="83"/>
    <w:bookmarkStart w:id="85"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84">
        <w:r>
          <w:rPr>
            <w:rStyle w:val="Hyperlink"/>
          </w:rPr>
          <w:t xml:space="preserve">https://doi.org/10.1002/neu.20081</w:t>
        </w:r>
      </w:hyperlink>
      <w:r>
        <w:t xml:space="preserve">.</w:t>
      </w:r>
    </w:p>
    <w:bookmarkEnd w:id="85"/>
    <w:bookmarkStart w:id="87"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w:t>
      </w:r>
      <w:r>
        <w:t xml:space="preserve"> </w:t>
      </w:r>
      <w:r>
        <w:t xml:space="preserve">21 (9): 1591–601.</w:t>
      </w:r>
      <w:r>
        <w:t xml:space="preserve"> </w:t>
      </w:r>
      <w:hyperlink r:id="rId86">
        <w:r>
          <w:rPr>
            <w:rStyle w:val="Hyperlink"/>
          </w:rPr>
          <w:t xml:space="preserve">https://doi.org/10.1002/ejp.1060</w:t>
        </w:r>
      </w:hyperlink>
      <w:r>
        <w:t xml:space="preserve">.</w:t>
      </w:r>
    </w:p>
    <w:bookmarkEnd w:id="87"/>
    <w:bookmarkStart w:id="89"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8">
        <w:r>
          <w:rPr>
            <w:rStyle w:val="Hyperlink"/>
          </w:rPr>
          <w:t xml:space="preserve">https://doi.org/10.1016/j.pain.2007.12.001</w:t>
        </w:r>
      </w:hyperlink>
      <w:r>
        <w:t xml:space="preserve">.</w:t>
      </w:r>
    </w:p>
    <w:bookmarkEnd w:id="89"/>
    <w:bookmarkStart w:id="91"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90">
        <w:r>
          <w:rPr>
            <w:rStyle w:val="Hyperlink"/>
          </w:rPr>
          <w:t xml:space="preserve">https://doi.org/10.1016/j.pain.2008.07.001</w:t>
        </w:r>
      </w:hyperlink>
      <w:r>
        <w:t xml:space="preserve">.</w:t>
      </w:r>
    </w:p>
    <w:bookmarkEnd w:id="91"/>
    <w:bookmarkStart w:id="93"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92">
        <w:r>
          <w:rPr>
            <w:rStyle w:val="Hyperlink"/>
          </w:rPr>
          <w:t xml:space="preserve">https://doi.org/10.1016/0304-3959(75)90072-X</w:t>
        </w:r>
      </w:hyperlink>
      <w:r>
        <w:t xml:space="preserve">.</w:t>
      </w:r>
    </w:p>
    <w:bookmarkEnd w:id="93"/>
    <w:bookmarkStart w:id="95"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94">
        <w:r>
          <w:rPr>
            <w:rStyle w:val="Hyperlink"/>
          </w:rPr>
          <w:t xml:space="preserve">https://doi.org/10.1002/cne.901720308</w:t>
        </w:r>
      </w:hyperlink>
      <w:r>
        <w:t xml:space="preserve">.</w:t>
      </w:r>
    </w:p>
    <w:bookmarkEnd w:id="95"/>
    <w:bookmarkStart w:id="97"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6">
        <w:r>
          <w:rPr>
            <w:rStyle w:val="Hyperlink"/>
          </w:rPr>
          <w:t xml:space="preserve">https://doi.org/10.1186/1744-8069-10-18</w:t>
        </w:r>
      </w:hyperlink>
      <w:r>
        <w:t xml:space="preserve">.</w:t>
      </w:r>
    </w:p>
    <w:bookmarkEnd w:id="97"/>
    <w:bookmarkStart w:id="99"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8">
        <w:r>
          <w:rPr>
            <w:rStyle w:val="Hyperlink"/>
          </w:rPr>
          <w:t xml:space="preserve">https://doi.org/10.1371/journal.pone.0027075</w:t>
        </w:r>
      </w:hyperlink>
      <w:r>
        <w:t xml:space="preserve">.</w:t>
      </w:r>
    </w:p>
    <w:bookmarkEnd w:id="99"/>
    <w:bookmarkStart w:id="101"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100">
        <w:r>
          <w:rPr>
            <w:rStyle w:val="Hyperlink"/>
          </w:rPr>
          <w:t xml:space="preserve">https://doi.org/10.1016/j.cub.2015.02.055</w:t>
        </w:r>
      </w:hyperlink>
      <w:r>
        <w:t xml:space="preserve">.</w:t>
      </w:r>
    </w:p>
    <w:bookmarkEnd w:id="101"/>
    <w:bookmarkStart w:id="103"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102">
        <w:r>
          <w:rPr>
            <w:rStyle w:val="Hyperlink"/>
          </w:rPr>
          <w:t xml:space="preserve">https://doi.org/10.1126/science.aaf8933</w:t>
        </w:r>
      </w:hyperlink>
      <w:r>
        <w:t xml:space="preserve">.</w:t>
      </w:r>
    </w:p>
    <w:bookmarkEnd w:id="103"/>
    <w:bookmarkStart w:id="105"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104">
        <w:r>
          <w:rPr>
            <w:rStyle w:val="Hyperlink"/>
          </w:rPr>
          <w:t xml:space="preserve">https://doi.org/10.1016/j.jpain.2004.02.094</w:t>
        </w:r>
      </w:hyperlink>
      <w:r>
        <w:t xml:space="preserve">.</w:t>
      </w:r>
    </w:p>
    <w:bookmarkEnd w:id="105"/>
    <w:bookmarkStart w:id="107"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6">
        <w:r>
          <w:rPr>
            <w:rStyle w:val="Hyperlink"/>
          </w:rPr>
          <w:t xml:space="preserve">https://doi.org/10.1016/j.jpain.2006.09.003</w:t>
        </w:r>
      </w:hyperlink>
      <w:r>
        <w:t xml:space="preserve">.</w:t>
      </w:r>
    </w:p>
    <w:bookmarkEnd w:id="107"/>
    <w:bookmarkStart w:id="109"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8">
        <w:r>
          <w:rPr>
            <w:rStyle w:val="Hyperlink"/>
          </w:rPr>
          <w:t xml:space="preserve">https://doi.org/10.1097/j.pain.0000000000000876</w:t>
        </w:r>
      </w:hyperlink>
      <w:r>
        <w:t xml:space="preserve">.</w:t>
      </w:r>
    </w:p>
    <w:bookmarkEnd w:id="109"/>
    <w:bookmarkStart w:id="111"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10">
        <w:r>
          <w:rPr>
            <w:rStyle w:val="Hyperlink"/>
          </w:rPr>
          <w:t xml:space="preserve">https://doi.org/10.1152/jn.00738.2010</w:t>
        </w:r>
      </w:hyperlink>
      <w:r>
        <w:t xml:space="preserve">.</w:t>
      </w:r>
    </w:p>
    <w:bookmarkEnd w:id="111"/>
    <w:bookmarkStart w:id="113"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12">
        <w:r>
          <w:rPr>
            <w:rStyle w:val="Hyperlink"/>
          </w:rPr>
          <w:t xml:space="preserve">https://doi.org/10.1016/0361-9230(89)90050-6</w:t>
        </w:r>
      </w:hyperlink>
      <w:r>
        <w:t xml:space="preserve">.</w:t>
      </w:r>
    </w:p>
    <w:bookmarkEnd w:id="113"/>
    <w:bookmarkStart w:id="115"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14">
        <w:r>
          <w:rPr>
            <w:rStyle w:val="Hyperlink"/>
          </w:rPr>
          <w:t xml:space="preserve">https://doi.org/10.1038/nrn2947</w:t>
        </w:r>
      </w:hyperlink>
      <w:r>
        <w:t xml:space="preserve">.</w:t>
      </w:r>
    </w:p>
    <w:bookmarkEnd w:id="115"/>
    <w:bookmarkStart w:id="117"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6">
        <w:r>
          <w:rPr>
            <w:rStyle w:val="Hyperlink"/>
          </w:rPr>
          <w:t xml:space="preserve">https://doi.org/10.1016/S0304-3959(99)00170-0</w:t>
        </w:r>
      </w:hyperlink>
      <w:r>
        <w:t xml:space="preserve">.</w:t>
      </w:r>
    </w:p>
    <w:bookmarkEnd w:id="117"/>
    <w:bookmarkEnd w:id="118"/>
    <w:p>
      <w:r>
        <w:br w:type="page"/>
      </w:r>
    </w:p>
    <w:bookmarkEnd w:id="119"/>
    <w:bookmarkStart w:id="120" w:name="supplementary-material"/>
    <w:p>
      <w:pPr>
        <w:pStyle w:val="Heading1"/>
      </w:pPr>
      <w:r>
        <w:t xml:space="preserve">Supplementary material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Cold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2.5e-07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1.9e-12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6e-05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Cold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Cold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6.8e-18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0.00021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Warm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4.6e-50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3.9e-115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Warm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0.00018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9.1e-05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Warm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2.7e-12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3.2e-12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bl>
    <w:p>
      <w:pPr>
        <w:pStyle w:val="FirstParagraph"/>
      </w:pPr>
      <w:r>
        <w:t xml:space="preserve">Cuts</w:t>
      </w:r>
    </w:p>
    <w:p>
      <w:pPr>
        <w:pStyle w:val="BodyText"/>
      </w:pPr>
      <w:r>
        <w:t xml:space="preserve">From</w:t>
      </w:r>
      <w:r>
        <w:t xml:space="preserve"> </w:t>
      </w:r>
      <w:r>
        <w:t xml:space="preserve">“</w:t>
      </w:r>
      <w:r>
        <w:t xml:space="preserve">Proximodistal bias in cold perception</w:t>
      </w:r>
      <w:r>
        <w:t xml:space="preserve">”</w:t>
      </w:r>
      <w:r>
        <w:t xml:space="preserve">:</w:t>
      </w:r>
    </w:p>
    <w:p>
      <w:pPr>
        <w:pStyle w:val="BodyText"/>
      </w:pPr>
      <w:r>
        <w:t xml:space="preserve">Experiment 1: warm ratings (stimulation by dermatome interaction:</w:t>
      </w:r>
      <w:r>
        <w:t xml:space="preserve"> </w:t>
      </w:r>
      <m:oMath>
        <m:r>
          <m:t>β</m:t>
        </m:r>
      </m:oMath>
      <w:r>
        <w:t xml:space="preserve"> </w:t>
      </w:r>
      <w:r>
        <w:t xml:space="preserve">= 0.19, p = 0.14; dermatome main effect:</w:t>
      </w:r>
      <w:r>
        <w:t xml:space="preserve"> </w:t>
      </w:r>
      <m:oMath>
        <m:r>
          <m:t>β</m:t>
        </m:r>
      </m:oMath>
      <w:r>
        <w:t xml:space="preserve"> </w:t>
      </w:r>
      <w:r>
        <w:t xml:space="preserve">= -0.08, p = 0.44) or burning ratings (stimulation by dermatome interaction:</w:t>
      </w:r>
      <w:r>
        <w:t xml:space="preserve"> </w:t>
      </w:r>
      <m:oMath>
        <m:r>
          <m:t>β</m:t>
        </m:r>
      </m:oMath>
      <w:r>
        <w:t xml:space="preserve"> </w:t>
      </w:r>
      <w:r>
        <w:t xml:space="preserve">= -0.09, p = 0.37; dermatome main effect:</w:t>
      </w:r>
      <w:r>
        <w:t xml:space="preserve"> </w:t>
      </w:r>
      <m:oMath>
        <m:r>
          <m:t>β</m:t>
        </m:r>
      </m:oMath>
      <w:r>
        <w:t xml:space="preserve"> </w:t>
      </w:r>
      <w:r>
        <w:t xml:space="preserve">= -0.17, p &lt; .05 )</w:t>
      </w:r>
    </w:p>
    <w:p>
      <w:pPr>
        <w:pStyle w:val="BodyText"/>
      </w:pPr>
      <w:r>
        <w:t xml:space="preserve">Experiment 2: warm ratings (stimulation by dermatome interaction:</w:t>
      </w:r>
      <w:r>
        <w:t xml:space="preserve"> </w:t>
      </w:r>
      <m:oMath>
        <m:r>
          <m:t>β</m:t>
        </m:r>
      </m:oMath>
      <w:r>
        <w:t xml:space="preserve"> </w:t>
      </w:r>
      <w:r>
        <w:t xml:space="preserve">= 0.00, p = 0.96); dermatome main effect:</w:t>
      </w:r>
      <w:r>
        <w:t xml:space="preserve"> </w:t>
      </w:r>
      <m:oMath>
        <m:r>
          <m:t>β</m:t>
        </m:r>
      </m:oMath>
      <w:r>
        <w:t xml:space="preserve"> </w:t>
      </w:r>
      <w:r>
        <w:t xml:space="preserve">= -0.04, p = 0.42) or burning ratings (stimulation by dermatome interaction:</w:t>
      </w:r>
      <w:r>
        <w:t xml:space="preserve"> </w:t>
      </w:r>
      <m:oMath>
        <m:r>
          <m:t>β</m:t>
        </m:r>
      </m:oMath>
      <w:r>
        <w:t xml:space="preserve"> </w:t>
      </w:r>
      <w:r>
        <w:t xml:space="preserve">= -0.06, p = 0.49); dermatome main effect:</w:t>
      </w:r>
      <w:r>
        <w:t xml:space="preserve"> </w:t>
      </w:r>
      <m:oMath>
        <m:r>
          <m:t>β</m:t>
        </m:r>
      </m:oMath>
      <w:r>
        <w:t xml:space="preserve"> </w:t>
      </w:r>
      <w:r>
        <w:t xml:space="preserve">= 0.00, p = 0.96).</w:t>
      </w:r>
    </w:p>
    <w:bookmarkEnd w:id="120"/>
    <w:sectPr w:rsidR="00734C27">
      <w:pgSz w:h="15840" w:w="12240"/>
      <w:pgMar w:bottom="1440" w:footer="708" w:gutter="0" w:header="708" w:left="1440" w:right="1440" w:top="144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62784233" w:numId="1">
    <w:abstractNumId w:val="0"/>
  </w:num>
  <w:num w16cid:durableId="479348354" w:numId="2">
    <w:abstractNumId w:val="0"/>
  </w:num>
  <w:num w16cid:durableId="1381830111"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57"/>
  <w:drawingGridVerticalSpacing w:val="357"/>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uiPriority w:val="9"/>
    <w:qFormat/>
    <w:rsid w:val="00201C9E"/>
    <w:pPr>
      <w:keepNext/>
      <w:keepLines/>
      <w:spacing w:before="480"/>
      <w:jc w:val="both"/>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01C9E"/>
    <w:pPr>
      <w:jc w:val="both"/>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1C9E"/>
    <w:pPr>
      <w:keepNext/>
      <w:keepLines/>
      <w:spacing w:after="240" w:before="48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01C9E"/>
    <w:pPr>
      <w:keepNext/>
      <w:keepLines/>
      <w:spacing w:after="240" w:before="240"/>
    </w:pPr>
    <w:rPr>
      <w:rFonts w:ascii="Times New Roman" w:hAnsi="Times New Roman"/>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1C9E"/>
    <w:pPr>
      <w:spacing w:after="480" w:before="120"/>
    </w:pPr>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467853"/>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51" Target="https://credit.niso.org" TargetMode="External" /><Relationship Type="http://schemas.openxmlformats.org/officeDocument/2006/relationships/hyperlink" Id="rId74" Target="https://doi.org/10.1002/ana.25307" TargetMode="External" /><Relationship Type="http://schemas.openxmlformats.org/officeDocument/2006/relationships/hyperlink" Id="rId94" Target="https://doi.org/10.1002/cne.901720308" TargetMode="External" /><Relationship Type="http://schemas.openxmlformats.org/officeDocument/2006/relationships/hyperlink" Id="rId86" Target="https://doi.org/10.1002/ejp.1060" TargetMode="External" /><Relationship Type="http://schemas.openxmlformats.org/officeDocument/2006/relationships/hyperlink" Id="rId84" Target="https://doi.org/10.1002/neu.20081" TargetMode="External" /><Relationship Type="http://schemas.openxmlformats.org/officeDocument/2006/relationships/hyperlink" Id="rId92" Target="https://doi.org/10.1016/0304-3959(75)90072-X" TargetMode="External" /><Relationship Type="http://schemas.openxmlformats.org/officeDocument/2006/relationships/hyperlink" Id="rId112" Target="https://doi.org/10.1016/0361-9230(89)90050-6" TargetMode="External" /><Relationship Type="http://schemas.openxmlformats.org/officeDocument/2006/relationships/hyperlink" Id="rId116" Target="https://doi.org/10.1016/S0304-3959(99)00170-0" TargetMode="External" /><Relationship Type="http://schemas.openxmlformats.org/officeDocument/2006/relationships/hyperlink" Id="rId64" Target="https://doi.org/10.1016/S1082-3174(98)70004-2" TargetMode="External" /><Relationship Type="http://schemas.openxmlformats.org/officeDocument/2006/relationships/hyperlink" Id="rId100" Target="https://doi.org/10.1016/j.cub.2015.02.055" TargetMode="External" /><Relationship Type="http://schemas.openxmlformats.org/officeDocument/2006/relationships/hyperlink" Id="rId104" Target="https://doi.org/10.1016/j.jpain.2004.02.094" TargetMode="External" /><Relationship Type="http://schemas.openxmlformats.org/officeDocument/2006/relationships/hyperlink" Id="rId106" Target="https://doi.org/10.1016/j.jpain.2006.09.003" TargetMode="External" /><Relationship Type="http://schemas.openxmlformats.org/officeDocument/2006/relationships/hyperlink" Id="rId72" Target="https://doi.org/10.1016/j.neubiorev.2019.11.017" TargetMode="External" /><Relationship Type="http://schemas.openxmlformats.org/officeDocument/2006/relationships/hyperlink" Id="rId58" Target="https://doi.org/10.1016/j.neulet.2011.09.061" TargetMode="External" /><Relationship Type="http://schemas.openxmlformats.org/officeDocument/2006/relationships/hyperlink" Id="rId62" Target="https://doi.org/10.1016/j.pain.2004.12.014" TargetMode="External" /><Relationship Type="http://schemas.openxmlformats.org/officeDocument/2006/relationships/hyperlink" Id="rId88" Target="https://doi.org/10.1016/j.pain.2007.12.001" TargetMode="External" /><Relationship Type="http://schemas.openxmlformats.org/officeDocument/2006/relationships/hyperlink" Id="rId70" Target="https://doi.org/10.1016/j.pain.2008.02.012" TargetMode="External" /><Relationship Type="http://schemas.openxmlformats.org/officeDocument/2006/relationships/hyperlink" Id="rId90" Target="https://doi.org/10.1016/j.pain.2008.07.001" TargetMode="External" /><Relationship Type="http://schemas.openxmlformats.org/officeDocument/2006/relationships/hyperlink" Id="rId54" Target="https://doi.org/10.1016/j.pain.2014.09.026" TargetMode="External" /><Relationship Type="http://schemas.openxmlformats.org/officeDocument/2006/relationships/hyperlink" Id="rId78" Target="https://doi.org/10.1016/s1090-3801(02)00056-3" TargetMode="External" /><Relationship Type="http://schemas.openxmlformats.org/officeDocument/2006/relationships/hyperlink" Id="rId68" Target="https://doi.org/10.1038/384258a0" TargetMode="External" /><Relationship Type="http://schemas.openxmlformats.org/officeDocument/2006/relationships/hyperlink" Id="rId114" Target="https://doi.org/10.1038/nrn2947" TargetMode="External" /><Relationship Type="http://schemas.openxmlformats.org/officeDocument/2006/relationships/hyperlink" Id="rId76" Target="https://doi.org/10.1038/s41598-018-24635-1" TargetMode="External" /><Relationship Type="http://schemas.openxmlformats.org/officeDocument/2006/relationships/hyperlink" Id="rId82" Target="https://doi.org/10.1080/08990220220220131524" TargetMode="External" /><Relationship Type="http://schemas.openxmlformats.org/officeDocument/2006/relationships/hyperlink" Id="rId108" Target="https://doi.org/10.1097/j.pain.0000000000000876" TargetMode="External" /><Relationship Type="http://schemas.openxmlformats.org/officeDocument/2006/relationships/hyperlink" Id="rId56" Target="https://doi.org/10.1097/j.pain.0000000000002069" TargetMode="External" /><Relationship Type="http://schemas.openxmlformats.org/officeDocument/2006/relationships/hyperlink" Id="rId66" Target="https://doi.org/10.1126/science.8023144" TargetMode="External" /><Relationship Type="http://schemas.openxmlformats.org/officeDocument/2006/relationships/hyperlink" Id="rId102" Target="https://doi.org/10.1126/science.aaf8933" TargetMode="External" /><Relationship Type="http://schemas.openxmlformats.org/officeDocument/2006/relationships/hyperlink" Id="rId60" Target="https://doi.org/10.1152/jappl.1962.17.6.1003" TargetMode="External" /><Relationship Type="http://schemas.openxmlformats.org/officeDocument/2006/relationships/hyperlink" Id="rId110" Target="https://doi.org/10.1152/jn.00738.2010" TargetMode="External" /><Relationship Type="http://schemas.openxmlformats.org/officeDocument/2006/relationships/hyperlink" Id="rId96" Target="https://doi.org/10.1186/1744-8069-10-18" TargetMode="External" /><Relationship Type="http://schemas.openxmlformats.org/officeDocument/2006/relationships/hyperlink" Id="rId98" Target="https://doi.org/10.1371/journal.pone.0027075" TargetMode="External" /><Relationship Type="http://schemas.openxmlformats.org/officeDocument/2006/relationships/hyperlink" Id="rId80" Target="https://doi.org/10.3758/BF03199698" TargetMode="External" /><Relationship Type="http://schemas.openxmlformats.org/officeDocument/2006/relationships/hyperlink" Id="rId48" Target="https://github.com/Body-Pain-Perception-Lab/tgi-spinal/tree/Markdown-manuscript" TargetMode="External" /><Relationship Type="http://schemas.openxmlformats.org/officeDocument/2006/relationships/hyperlink" Id="rId46" Target="https://osf.io/4xcn5/" TargetMode="External" /><Relationship Type="http://schemas.openxmlformats.org/officeDocument/2006/relationships/hyperlink" Id="rId47"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_rels/footnotes.xml.rels><?xml version="1.0" encoding="UTF-8"?><Relationships xmlns="http://schemas.openxmlformats.org/package/2006/relationships"><Relationship Type="http://schemas.openxmlformats.org/officeDocument/2006/relationships/hyperlink" Id="rId51" Target="https://credit.niso.org" TargetMode="External" /><Relationship Type="http://schemas.openxmlformats.org/officeDocument/2006/relationships/hyperlink" Id="rId74" Target="https://doi.org/10.1002/ana.25307" TargetMode="External" /><Relationship Type="http://schemas.openxmlformats.org/officeDocument/2006/relationships/hyperlink" Id="rId94" Target="https://doi.org/10.1002/cne.901720308" TargetMode="External" /><Relationship Type="http://schemas.openxmlformats.org/officeDocument/2006/relationships/hyperlink" Id="rId86" Target="https://doi.org/10.1002/ejp.1060" TargetMode="External" /><Relationship Type="http://schemas.openxmlformats.org/officeDocument/2006/relationships/hyperlink" Id="rId84" Target="https://doi.org/10.1002/neu.20081" TargetMode="External" /><Relationship Type="http://schemas.openxmlformats.org/officeDocument/2006/relationships/hyperlink" Id="rId92" Target="https://doi.org/10.1016/0304-3959(75)90072-X" TargetMode="External" /><Relationship Type="http://schemas.openxmlformats.org/officeDocument/2006/relationships/hyperlink" Id="rId112" Target="https://doi.org/10.1016/0361-9230(89)90050-6" TargetMode="External" /><Relationship Type="http://schemas.openxmlformats.org/officeDocument/2006/relationships/hyperlink" Id="rId116" Target="https://doi.org/10.1016/S0304-3959(99)00170-0" TargetMode="External" /><Relationship Type="http://schemas.openxmlformats.org/officeDocument/2006/relationships/hyperlink" Id="rId64" Target="https://doi.org/10.1016/S1082-3174(98)70004-2" TargetMode="External" /><Relationship Type="http://schemas.openxmlformats.org/officeDocument/2006/relationships/hyperlink" Id="rId100" Target="https://doi.org/10.1016/j.cub.2015.02.055" TargetMode="External" /><Relationship Type="http://schemas.openxmlformats.org/officeDocument/2006/relationships/hyperlink" Id="rId104" Target="https://doi.org/10.1016/j.jpain.2004.02.094" TargetMode="External" /><Relationship Type="http://schemas.openxmlformats.org/officeDocument/2006/relationships/hyperlink" Id="rId106" Target="https://doi.org/10.1016/j.jpain.2006.09.003" TargetMode="External" /><Relationship Type="http://schemas.openxmlformats.org/officeDocument/2006/relationships/hyperlink" Id="rId72" Target="https://doi.org/10.1016/j.neubiorev.2019.11.017" TargetMode="External" /><Relationship Type="http://schemas.openxmlformats.org/officeDocument/2006/relationships/hyperlink" Id="rId58" Target="https://doi.org/10.1016/j.neulet.2011.09.061" TargetMode="External" /><Relationship Type="http://schemas.openxmlformats.org/officeDocument/2006/relationships/hyperlink" Id="rId62" Target="https://doi.org/10.1016/j.pain.2004.12.014" TargetMode="External" /><Relationship Type="http://schemas.openxmlformats.org/officeDocument/2006/relationships/hyperlink" Id="rId88" Target="https://doi.org/10.1016/j.pain.2007.12.001" TargetMode="External" /><Relationship Type="http://schemas.openxmlformats.org/officeDocument/2006/relationships/hyperlink" Id="rId70" Target="https://doi.org/10.1016/j.pain.2008.02.012" TargetMode="External" /><Relationship Type="http://schemas.openxmlformats.org/officeDocument/2006/relationships/hyperlink" Id="rId90" Target="https://doi.org/10.1016/j.pain.2008.07.001" TargetMode="External" /><Relationship Type="http://schemas.openxmlformats.org/officeDocument/2006/relationships/hyperlink" Id="rId54" Target="https://doi.org/10.1016/j.pain.2014.09.026" TargetMode="External" /><Relationship Type="http://schemas.openxmlformats.org/officeDocument/2006/relationships/hyperlink" Id="rId78" Target="https://doi.org/10.1016/s1090-3801(02)00056-3" TargetMode="External" /><Relationship Type="http://schemas.openxmlformats.org/officeDocument/2006/relationships/hyperlink" Id="rId68" Target="https://doi.org/10.1038/384258a0" TargetMode="External" /><Relationship Type="http://schemas.openxmlformats.org/officeDocument/2006/relationships/hyperlink" Id="rId114" Target="https://doi.org/10.1038/nrn2947" TargetMode="External" /><Relationship Type="http://schemas.openxmlformats.org/officeDocument/2006/relationships/hyperlink" Id="rId76" Target="https://doi.org/10.1038/s41598-018-24635-1" TargetMode="External" /><Relationship Type="http://schemas.openxmlformats.org/officeDocument/2006/relationships/hyperlink" Id="rId82" Target="https://doi.org/10.1080/08990220220220131524" TargetMode="External" /><Relationship Type="http://schemas.openxmlformats.org/officeDocument/2006/relationships/hyperlink" Id="rId108" Target="https://doi.org/10.1097/j.pain.0000000000000876" TargetMode="External" /><Relationship Type="http://schemas.openxmlformats.org/officeDocument/2006/relationships/hyperlink" Id="rId56" Target="https://doi.org/10.1097/j.pain.0000000000002069" TargetMode="External" /><Relationship Type="http://schemas.openxmlformats.org/officeDocument/2006/relationships/hyperlink" Id="rId66" Target="https://doi.org/10.1126/science.8023144" TargetMode="External" /><Relationship Type="http://schemas.openxmlformats.org/officeDocument/2006/relationships/hyperlink" Id="rId102" Target="https://doi.org/10.1126/science.aaf8933" TargetMode="External" /><Relationship Type="http://schemas.openxmlformats.org/officeDocument/2006/relationships/hyperlink" Id="rId60" Target="https://doi.org/10.1152/jappl.1962.17.6.1003" TargetMode="External" /><Relationship Type="http://schemas.openxmlformats.org/officeDocument/2006/relationships/hyperlink" Id="rId110" Target="https://doi.org/10.1152/jn.00738.2010" TargetMode="External" /><Relationship Type="http://schemas.openxmlformats.org/officeDocument/2006/relationships/hyperlink" Id="rId96" Target="https://doi.org/10.1186/1744-8069-10-18" TargetMode="External" /><Relationship Type="http://schemas.openxmlformats.org/officeDocument/2006/relationships/hyperlink" Id="rId98" Target="https://doi.org/10.1371/journal.pone.0027075" TargetMode="External" /><Relationship Type="http://schemas.openxmlformats.org/officeDocument/2006/relationships/hyperlink" Id="rId80" Target="https://doi.org/10.3758/BF03199698" TargetMode="External" /><Relationship Type="http://schemas.openxmlformats.org/officeDocument/2006/relationships/hyperlink" Id="rId48" Target="https://github.com/Body-Pain-Perception-Lab/tgi-spinal/tree/Markdown-manuscript" TargetMode="External" /><Relationship Type="http://schemas.openxmlformats.org/officeDocument/2006/relationships/hyperlink" Id="rId46" Target="https://osf.io/4xcn5/" TargetMode="External" /><Relationship Type="http://schemas.openxmlformats.org/officeDocument/2006/relationships/hyperlink" Id="rId47"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152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dcterms:created xsi:type="dcterms:W3CDTF">2023-08-02T08:55:07Z</dcterms:created>
  <dcterms:modified xsi:type="dcterms:W3CDTF">2023-08-02T08:55:07Z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files/Disentangling the spinal mechanisms of illusory heat and burning sensations in the Thermal Grill Illusion.bib</vt:lpwstr>
  </property>
  <property fmtid="{D5CDD505-2E9C-101B-9397-08002B2CF9AE}" pid="4" name="editor_options">
    <vt:lpwstr/>
  </property>
  <property fmtid="{D5CDD505-2E9C-101B-9397-08002B2CF9AE}" pid="5" name="link-citations">
    <vt:lpwstr>True</vt:lpwstr>
  </property>
  <property fmtid="{D5CDD505-2E9C-101B-9397-08002B2CF9AE}" pid="6" name="linkcolor">
    <vt:lpwstr>blue</vt:lpwstr>
  </property>
  <property fmtid="{D5CDD505-2E9C-101B-9397-08002B2CF9AE}" pid="7" name="output">
    <vt:lpwstr/>
  </property>
  <property fmtid="{D5CDD505-2E9C-101B-9397-08002B2CF9AE}" pid="8" name="serif">
    <vt:lpwstr>Times New Roman</vt:lpwstr>
  </property>
</Properties>
</file>