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2023-07-12</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 Much debate has revolved around whether spinal mechanisms are involved in the generation of illusory pain, beyond supraspinal mechanisms. In this study, we investigated the role of the spinal cord in the generation of the TGI, in two independent experiments, involving a total of 80 healthy individuals. We applied heat and cold stimuli on dermatomes, namely areas of skin innervated by a single spinal nerve, mapped onto adjacent or nonadjacent spinal segments. Participants were asked to rate their perceptions of cold, warm, and burning sensations in response to TGI and control stimuli. Our aims were to investigate thermosensory and painful perceptual components of the TGI, as well as spatial features of the TGI that may illuminate processes underlying thermosensory integration in the spinal cord. Our findings revealed that both thermosensory and painful components of TGI perception were modulated similarly, with enhanced warm and burning ratings observed when cold and warm stimuli were confined within the same dermatome. 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 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 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 The generation of this illusion is thus attributed to central nervous system mechanisms</w:t>
      </w:r>
      <w:r>
        <w:t xml:space="preserve"> </w:t>
      </w:r>
      <w:r>
        <w:t xml:space="preserve">(</w:t>
      </w:r>
      <w:hyperlink w:anchor="ref-fardo_beyond_2020">
        <w:r>
          <w:rPr>
            <w:rStyle w:val="Hyperlink"/>
          </w:rPr>
          <w:t xml:space="preserve">Fardo et al. 2020</w:t>
        </w:r>
      </w:hyperlink>
      <w:r>
        <w:t xml:space="preserve">)</w:t>
      </w:r>
      <w:r>
        <w:t xml:space="preserve">. 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 However, the precise mechanisms underpinning integration of cold and warm thermal afferents in the spinal cord, alongside those responsible for the distinctive burning quality to this illusion, are yet to be elucidated.The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 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a thalamic lesion</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 Recent human studies on TGI provided differing interpretations of the spinal or supraspinal origin of the illusion. Two studies posited that the illusory pain of the TGI depends uniquely on supraspinal mechanisms. 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 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 Counter to this perspective, other research endorsed a spinal contribution to the TGI. 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 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 Further support for spinal mechanisms comes from research demonstrating that both noxious heat and the TGI were comparably reduced by conditioned pain modulation in humans. 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 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 Firstly, we directly investigated the hypothesis that thermosensory and burning components of the TGI experience are mediated by spinal mechanisms in humans, by manipulating the location of the stimuli within and across dermatomes. 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burning components. Here, to probe possible distinctions between the two qualitative components of the TGI, we measured subjective indices of TGI perception using three independent visual analog scale (VAS) ratings of perceived cold, warm and burning sensations. Secondly, we investigated spatial order effects associated with the integration of cold and warm sensory information at the dermatome (skin) and segmental (i.,e.,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heightened warm and burning ratings, coupled with reduced cold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 All stimulation pairs were presented at a fixed distance on the skin, either within the same dermatome or across dermatomes that mapped onto non-adjacent spinal segments. In doing so, the stimuli elicited cold-related and warm-related neural activity that was either more focal or more widespread along the spinal cord. For each stimulation, participants reported their ratings using three sequential VAS scales ranging from 0, indicating the lack of a sensation, to 100, indicating an extreme sensation.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 Participants reported a significantly reduced subjective experience of cold (Exp. 1:</w:t>
      </w:r>
      <w:r>
        <w:t xml:space="preserve"> </w:t>
      </w:r>
      <m:oMath>
        <m:r>
          <m:t>β</m:t>
        </m:r>
      </m:oMath>
      <w:r>
        <w:t xml:space="preserve"> </w:t>
      </w:r>
      <w:r>
        <w:t xml:space="preserve">= -0.14, p &lt; .01; Exp. 2:</w:t>
      </w:r>
      <w:r>
        <w:t xml:space="preserve"> </w:t>
      </w:r>
      <m:oMath>
        <m:r>
          <m:t>β</m:t>
        </m:r>
      </m:oMath>
      <w:r>
        <w:t xml:space="preserve"> </w:t>
      </w:r>
      <w:r>
        <w:t xml:space="preserve">= 0.10, p = 0.27), alongside a markedly enhanced subjective experience of warmth (Exp. 1:</w:t>
      </w:r>
      <w:r>
        <w:t xml:space="preserve"> </w:t>
      </w:r>
      <m:oMath>
        <m:r>
          <m:t>β</m:t>
        </m:r>
      </m:oMath>
      <w:r>
        <w:t xml:space="preserve"> </w:t>
      </w:r>
      <w:r>
        <w:t xml:space="preserve">= 0.41, p &lt; .001; Exp. 2:</w:t>
      </w:r>
      <w:r>
        <w:t xml:space="preserve"> </w:t>
      </w:r>
      <m:oMath>
        <m:r>
          <m:t>β</m:t>
        </m:r>
      </m:oMath>
      <w:r>
        <w:t xml:space="preserve"> </w:t>
      </w:r>
      <w:r>
        <w:t xml:space="preserve">= 0.08, p = 0.13) for TGI compared to non-TGI stimuli. In addition, a heightened burning sensation was reported in our second experiment (Exp.1:</w:t>
      </w:r>
      <w:r>
        <w:t xml:space="preserve"> </w:t>
      </w:r>
      <m:oMath>
        <m:r>
          <m:t>β</m:t>
        </m:r>
      </m:oMath>
      <w:r>
        <w:t xml:space="preserve"> </w:t>
      </w:r>
      <w:r>
        <w:t xml:space="preserve">= -0.02, p = 0.8; Exp. 2</w:t>
      </w:r>
      <w:r>
        <w:t xml:space="preserve"> </w:t>
      </w:r>
      <m:oMath>
        <m:r>
          <m:t>β</m:t>
        </m:r>
      </m:oMath>
      <w:r>
        <w:t xml:space="preserve"> </w:t>
      </w:r>
      <w:r>
        <w:t xml:space="preserve">= 0.02, p = 0.78) for TGI compared to non-TGI stimuli. These findings not only corroborated earlier results regarding the segmental organisation of the TGI</w:t>
      </w:r>
      <w:r>
        <w:t xml:space="preserve"> </w:t>
      </w:r>
      <w:r>
        <w:t xml:space="preserve">(</w:t>
      </w:r>
      <w:hyperlink w:anchor="ref-fardo_organization_2018">
        <w:r>
          <w:rPr>
            <w:rStyle w:val="Hyperlink"/>
          </w:rPr>
          <w:t xml:space="preserve">Fardo, Finnerup, and Haggard 2018</w:t>
        </w:r>
      </w:hyperlink>
      <w:r>
        <w:t xml:space="preserve">)</w:t>
      </w:r>
      <w:r>
        <w:t xml:space="preserve"> </w:t>
      </w:r>
      <w:r>
        <w:t xml:space="preserve">but also suggested that both the thermosensory enhancement and illusory pain components of the illusion are modulated at the spinal cord level. These findings are consistent with previous results on the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 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 In our study, we sought to investigate whether this effect of distal inhibition would also influence TGI perception within a single dermatome (Fig. 3).</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-0.17, p &lt; .001) with no significant interaction between them</w:t>
      </w:r>
      <w:r>
        <w:t xml:space="preserve"> </w:t>
      </w:r>
      <m:oMath>
        <m:r>
          <m:t>β</m:t>
        </m:r>
      </m:oMath>
      <w:r>
        <w:t xml:space="preserve"> </w:t>
      </w:r>
      <w:r>
        <w:t xml:space="preserve">= -0.08, p = 0.29. No difference in intensity was found for the warm ratings (TGI:</w:t>
      </w:r>
      <w:r>
        <w:t xml:space="preserve"> </w:t>
      </w:r>
      <m:oMath>
        <m:r>
          <m:t>β</m:t>
        </m:r>
      </m:oMath>
      <w:r>
        <w:t xml:space="preserve"> </w:t>
      </w:r>
      <w:r>
        <w:t xml:space="preserve">= 0.13, p = 0.07; control:</w:t>
      </w:r>
      <w:r>
        <w:t xml:space="preserve"> </w:t>
      </w:r>
      <m:oMath>
        <m:r>
          <m:t>β</m:t>
        </m:r>
      </m:oMath>
      <w:r>
        <w:t xml:space="preserve"> </w:t>
      </w:r>
      <w:r>
        <w:t xml:space="preserve">= -0.07, p = 0.49) with no significant interaction between them</w:t>
      </w:r>
      <w:r>
        <w:t xml:space="preserve"> </w:t>
      </w:r>
      <m:oMath>
        <m:r>
          <m:t>β</m:t>
        </m:r>
      </m:oMath>
      <w:r>
        <w:t xml:space="preserve"> </w:t>
      </w:r>
      <w:r>
        <w:t xml:space="preserve">= 0.21, p = 0.11. significant differences was also found for the burning ratings indicating more distally located cold probe decreased ratings. (TGI:</w:t>
      </w:r>
      <w:r>
        <w:t xml:space="preserve"> </w:t>
      </w:r>
      <m:oMath>
        <m:r>
          <m:t>β</m:t>
        </m:r>
      </m:oMath>
      <w:r>
        <w:t xml:space="preserve"> </w:t>
      </w:r>
      <w:r>
        <w:t xml:space="preserve">= -0.25, p &lt; .001; control:</w:t>
      </w:r>
      <w:r>
        <w:t xml:space="preserve"> </w:t>
      </w:r>
      <m:oMath>
        <m:r>
          <m:t>β</m:t>
        </m:r>
      </m:oMath>
      <w:r>
        <w:t xml:space="preserve"> </w:t>
      </w:r>
      <w:r>
        <w:t xml:space="preserve">= -0.17, p &lt; .05 ) with no significant interaction between them</w:t>
      </w:r>
      <w:r>
        <w:t xml:space="preserve"> </w:t>
      </w:r>
      <m:oMath>
        <m:r>
          <m:t>β</m:t>
        </m:r>
      </m:oMath>
      <w:r>
        <w:t xml:space="preserve"> </w:t>
      </w:r>
      <w:r>
        <w:t xml:space="preserve">= -0.08, p = 0.41.</w:t>
      </w:r>
    </w:p>
    <w:p>
      <w:pPr>
        <w:pStyle w:val="BodyText"/>
      </w:pPr>
      <w:r>
        <w:t xml:space="preserve">The second experiment showed similar results</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-0.07, p = 0.23; control:</w:t>
      </w:r>
      <w:r>
        <w:t xml:space="preserve"> </w:t>
      </w:r>
      <m:oMath>
        <m:r>
          <m:t>β</m:t>
        </m:r>
      </m:oMath>
      <w:r>
        <w:t xml:space="preserve"> </w:t>
      </w:r>
      <w:r>
        <w:t xml:space="preserve">= -0.17, p = 0.06) with no significant interaction between them</w:t>
      </w:r>
      <w:r>
        <w:t xml:space="preserve"> </w:t>
      </w:r>
      <m:oMath>
        <m:r>
          <m:t>β</m:t>
        </m:r>
      </m:oMath>
      <w:r>
        <w:t xml:space="preserve"> </w:t>
      </w:r>
      <w:r>
        <w:t xml:space="preserve">= 0.10, p = 0.37. No difference in intensity was found for the warm ratings (TGI:</w:t>
      </w:r>
      <w:r>
        <w:t xml:space="preserve"> </w:t>
      </w:r>
      <m:oMath>
        <m:r>
          <m:t>β</m:t>
        </m:r>
      </m:oMath>
      <w:r>
        <w:t xml:space="preserve"> </w:t>
      </w:r>
      <w:r>
        <w:t xml:space="preserve">= -0.05, p = 0.39; control:</w:t>
      </w:r>
      <w:r>
        <w:t xml:space="preserve"> </w:t>
      </w:r>
      <m:oMath>
        <m:r>
          <m:t>β</m:t>
        </m:r>
      </m:oMath>
      <w:r>
        <w:t xml:space="preserve"> </w:t>
      </w:r>
      <w:r>
        <w:t xml:space="preserve">= -0.04, p = 0.44) with no significant interaction between them</w:t>
      </w:r>
      <w:r>
        <w:t xml:space="preserve"> </w:t>
      </w:r>
      <m:oMath>
        <m:r>
          <m:t>β</m:t>
        </m:r>
      </m:oMath>
      <w:r>
        <w:t xml:space="preserve"> </w:t>
      </w:r>
      <w:r>
        <w:t xml:space="preserve">= -0.01, p = 0.95. significant differences was also found for the burning ratings indicating more distally located cold probe decreased ratings. (TGI:</w:t>
      </w:r>
      <w:r>
        <w:t xml:space="preserve"> </w:t>
      </w:r>
      <m:oMath>
        <m:r>
          <m:t>β</m:t>
        </m:r>
      </m:oMath>
      <w:r>
        <w:t xml:space="preserve"> </w:t>
      </w:r>
      <w:r>
        <w:t xml:space="preserve">= -0.06, p = 0.27; control:</w:t>
      </w:r>
      <w:r>
        <w:t xml:space="preserve"> </w:t>
      </w:r>
      <m:oMath>
        <m:r>
          <m:t>β</m:t>
        </m:r>
      </m:oMath>
      <w:r>
        <w:t xml:space="preserve"> </w:t>
      </w:r>
      <w:r>
        <w:t xml:space="preserve">= 0.00, p = 0.97) with no significant interaction between them</w:t>
      </w:r>
      <w:r>
        <w:t xml:space="preserve"> </w:t>
      </w:r>
      <m:oMath>
        <m:r>
          <m:t>β</m:t>
        </m:r>
      </m:oMath>
      <w:r>
        <w:t xml:space="preserve"> </w:t>
      </w:r>
      <w:r>
        <w:t xml:space="preserve">= -0.06, p = 0.44.</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w:t>
      </w:r>
    </w:p>
    <w:p>
      <w:pPr>
        <w:pStyle w:val="BodyText"/>
      </w:pPr>
      <w:r>
        <w:t xml:space="preserve">Firstly the cold intensity was less when the cold probe was located more distally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0.15, p &lt; .01) with no significant interaction between them</w:t>
      </w:r>
      <w:r>
        <w:t xml:space="preserve"> </w:t>
      </w:r>
      <m:oMath>
        <m:r>
          <m:t>β</m:t>
        </m:r>
      </m:oMath>
      <w:r>
        <w:t xml:space="preserve"> </w:t>
      </w:r>
      <w:r>
        <w:t xml:space="preserve">= 0.11, p = 0.16. No difference in intensity was found for the warm ratings (TGI:</w:t>
      </w:r>
      <w:r>
        <w:t xml:space="preserve"> </w:t>
      </w:r>
      <m:oMath>
        <m:r>
          <m:t>β</m:t>
        </m:r>
      </m:oMath>
      <w:r>
        <w:t xml:space="preserve"> </w:t>
      </w:r>
      <w:r>
        <w:t xml:space="preserve">= -0.28, p &lt; .001; control:</w:t>
      </w:r>
      <w:r>
        <w:t xml:space="preserve"> </w:t>
      </w:r>
      <m:oMath>
        <m:r>
          <m:t>β</m:t>
        </m:r>
      </m:oMath>
      <w:r>
        <w:t xml:space="preserve"> </w:t>
      </w:r>
      <w:r>
        <w:t xml:space="preserve">= -0.20, p = 0.06) with no significant interaction between them</w:t>
      </w:r>
      <w:r>
        <w:t xml:space="preserve"> </w:t>
      </w:r>
      <m:oMath>
        <m:r>
          <m:t>β</m:t>
        </m:r>
      </m:oMath>
      <w:r>
        <w:t xml:space="preserve"> </w:t>
      </w:r>
      <w:r>
        <w:t xml:space="preserve">= -0.08, p = 0.57. significant differences was also found for the burning ratings indicating more distally located cold probe decreased ratings. (TGI:</w:t>
      </w:r>
      <w:r>
        <w:t xml:space="preserve"> </w:t>
      </w:r>
      <m:oMath>
        <m:r>
          <m:t>β</m:t>
        </m:r>
      </m:oMath>
      <w:r>
        <w:t xml:space="preserve"> </w:t>
      </w:r>
      <w:r>
        <w:t xml:space="preserve">= 0.05, p = 0.48; control:</w:t>
      </w:r>
      <w:r>
        <w:t xml:space="preserve"> </w:t>
      </w:r>
      <m:oMath>
        <m:r>
          <m:t>β</m:t>
        </m:r>
      </m:oMath>
      <w:r>
        <w:t xml:space="preserve"> </w:t>
      </w:r>
      <w:r>
        <w:t xml:space="preserve">= 0.10, p = 0.18) with no significant interaction between them</w:t>
      </w:r>
      <w:r>
        <w:t xml:space="preserve"> </w:t>
      </w:r>
      <m:oMath>
        <m:r>
          <m:t>β</m:t>
        </m:r>
      </m:oMath>
      <w:r>
        <w:t xml:space="preserve"> </w:t>
      </w:r>
      <w:r>
        <w:t xml:space="preserve">= -0.05, p = 0.6.</w:t>
      </w:r>
    </w:p>
    <w:p>
      <w:pPr>
        <w:pStyle w:val="BodyText"/>
      </w:pPr>
      <w:r>
        <w:t xml:space="preserve">The second experiment showed similar results</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0.25, p &lt; .0001; control:</w:t>
      </w:r>
      <w:r>
        <w:t xml:space="preserve"> </w:t>
      </w:r>
      <m:oMath>
        <m:r>
          <m:t>β</m:t>
        </m:r>
      </m:oMath>
      <w:r>
        <w:t xml:space="preserve"> </w:t>
      </w:r>
      <w:r>
        <w:t xml:space="preserve">= 0.01, p = 0.92) with no significant interaction between them</w:t>
      </w:r>
      <w:r>
        <w:t xml:space="preserve"> </w:t>
      </w:r>
      <m:oMath>
        <m:r>
          <m:t>β</m:t>
        </m:r>
      </m:oMath>
      <w:r>
        <w:t xml:space="preserve"> </w:t>
      </w:r>
      <w:r>
        <w:t xml:space="preserve">= 0.24, p &lt; .05 . No difference in intensity was found for the warm ratings (TGI:</w:t>
      </w:r>
      <w:r>
        <w:t xml:space="preserve"> </w:t>
      </w:r>
      <m:oMath>
        <m:r>
          <m:t>β</m:t>
        </m:r>
      </m:oMath>
      <w:r>
        <w:t xml:space="preserve"> </w:t>
      </w:r>
      <w:r>
        <w:t xml:space="preserve">= -0.21, p &lt; .0001; control:</w:t>
      </w:r>
      <w:r>
        <w:t xml:space="preserve"> </w:t>
      </w:r>
      <m:oMath>
        <m:r>
          <m:t>β</m:t>
        </m:r>
      </m:oMath>
      <w:r>
        <w:t xml:space="preserve"> </w:t>
      </w:r>
      <w:r>
        <w:t xml:space="preserve">= -0.20, p &lt; .001) with no significant interaction between them</w:t>
      </w:r>
      <w:r>
        <w:t xml:space="preserve"> </w:t>
      </w:r>
      <m:oMath>
        <m:r>
          <m:t>β</m:t>
        </m:r>
      </m:oMath>
      <w:r>
        <w:t xml:space="preserve"> </w:t>
      </w:r>
      <w:r>
        <w:t xml:space="preserve">= -0.01, p = 0.93. significant differences was also found for the burning ratings indicating more distally located cold probe decreased ratings. (TGI:</w:t>
      </w:r>
      <w:r>
        <w:t xml:space="preserve"> </w:t>
      </w:r>
      <m:oMath>
        <m:r>
          <m:t>β</m:t>
        </m:r>
      </m:oMath>
      <w:r>
        <w:t xml:space="preserve"> </w:t>
      </w:r>
      <w:r>
        <w:t xml:space="preserve">= -0.02, p = 0.77; control:</w:t>
      </w:r>
      <w:r>
        <w:t xml:space="preserve"> </w:t>
      </w:r>
      <m:oMath>
        <m:r>
          <m:t>β</m:t>
        </m:r>
      </m:oMath>
      <w:r>
        <w:t xml:space="preserve"> </w:t>
      </w:r>
      <w:r>
        <w:t xml:space="preserve">= -0.17, p &lt; .01) with no significant interaction between them</w:t>
      </w:r>
      <w:r>
        <w:t xml:space="preserve"> </w:t>
      </w:r>
      <m:oMath>
        <m:r>
          <m:t>β</m:t>
        </m:r>
      </m:oMath>
      <w:r>
        <w:t xml:space="preserve"> </w:t>
      </w:r>
      <w:r>
        <w:t xml:space="preserve">= 0.15, p = 0.08.</w:t>
      </w:r>
    </w:p>
    <w:p>
      <w:pPr>
        <w:pStyle w:val="BodyText"/>
      </w:pPr>
      <w:r>
        <w:t xml:space="preserve">The results indicated a notably enhanced TGI effect when the cold stimulus induced more caudal activity within the spinal cord, as depicted in Figure 3. These findings were consistent across both experiments for thermosensory ratings, albeit with minor deviations that corresponded with the particular stimulation quality being assessed. The observed enhancement of warmth perception in Experiment 2 could be ascribed to the participants’ assessment of the warmer thermode as opposed to the colder one of Experiment 1. For burning ratings, significant results were seen in Experiment 2, but not in Experiment 1. One possible reason for this discrepancy could be the relatively low power in Experiment 1, as the power analysis was specifically focused on thermosensory ratings. 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 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 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 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 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(Fardo et al., 2018)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 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 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r>
        <w:t xml:space="preserve"> </w:t>
      </w:r>
      <w:r>
        <w:t xml:space="preserve">Conceptualization: DEC, JFE, FF, PH, AGM.</w:t>
      </w:r>
      <w:r>
        <w:t xml:space="preserve"> </w:t>
      </w:r>
      <w:r>
        <w:t xml:space="preserve">Data curation: JEF, AGM.</w:t>
      </w:r>
      <w:r>
        <w:t xml:space="preserve"> </w:t>
      </w:r>
      <w:r>
        <w:t xml:space="preserve">Formal analysis: JFE, FF, AGM.</w:t>
      </w:r>
      <w:r>
        <w:t xml:space="preserve"> </w:t>
      </w:r>
      <w:r>
        <w:t xml:space="preserve">Funding acquisition: FF.</w:t>
      </w:r>
      <w:r>
        <w:t xml:space="preserve"> </w:t>
      </w:r>
      <w:r>
        <w:t xml:space="preserve">Investigation: DEC, JFE, AGM.</w:t>
      </w:r>
      <w:r>
        <w:t xml:space="preserve"> </w:t>
      </w:r>
      <w:r>
        <w:t xml:space="preserve">Methodology: DEC, JFE, FF, AGM, AVS.</w:t>
      </w:r>
      <w:r>
        <w:t xml:space="preserve"> </w:t>
      </w:r>
      <w:r>
        <w:t xml:space="preserve">Project administration: FF, AGM.</w:t>
      </w:r>
      <w:r>
        <w:t xml:space="preserve"> </w:t>
      </w:r>
      <w:r>
        <w:t xml:space="preserve">Resources: FF, AGM.</w:t>
      </w:r>
      <w:r>
        <w:t xml:space="preserve"> </w:t>
      </w:r>
      <w:r>
        <w:t xml:space="preserve">Software: JFE, FF, AGM.</w:t>
      </w:r>
      <w:r>
        <w:t xml:space="preserve"> </w:t>
      </w:r>
      <w:r>
        <w:t xml:space="preserve">Supervision: FF, AGM.</w:t>
      </w:r>
      <w:r>
        <w:t xml:space="preserve"> </w:t>
      </w:r>
      <w:r>
        <w:t xml:space="preserve">Visualization: FF, AGM.</w:t>
      </w:r>
      <w:r>
        <w:t xml:space="preserve"> </w:t>
      </w:r>
      <w:r>
        <w:t xml:space="preserve">Writing – original draft: FF, AGM.</w:t>
      </w:r>
      <w:r>
        <w:t xml:space="preserve"> </w:t>
      </w: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 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2023-07-12T09:11:20Z</dcterms:created>
  <dcterms:modified xsi:type="dcterms:W3CDTF">2023-07-12T09:11:20Z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2023-07-12</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