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Стан сайту body-health.care</w:t>
      </w:r>
    </w:p>
    <w:p>
      <w:pPr>
        <w:pStyle w:val="DocSub"/>
      </w:pPr>
      <w:r>
        <w:t xml:space="preserve">Що зроблено, що працює, що залишилося</w:t>
      </w:r>
    </w:p>
    <w:p>
      <w:pPr>
        <w:pStyle w:val="DocSub"/>
        <w:pBdr>
          <w:bottom w:val="single" w:color="003D82" w:sz="12" w:space="10"/>
        </w:pBdr>
        <w:spacing w:after="160"/>
      </w:pPr>
      <w:r>
        <w:t xml:space="preserve">Звіт для медичного директора · станом на 16 вересня 2026 р.</w:t>
      </w:r>
    </w:p>
    <w:p>
      <w:pPr>
        <w:pStyle w:val="Note"/>
      </w:pPr>
      <w:r>
        <w:t xml:space="preserve">Коротко: сайт живий, повністю робочий і приведений у відповідність до висновку юриста від 16.09.2026. Заявки з усіх форм доходять і до пошти, і до таблиці. Правових зауважень, що блокують роботу, не залишилося.</w:t>
      </w:r>
    </w:p>
    <w:p>
      <w:pPr>
        <w:pStyle w:val="Heading1"/>
      </w:pPr>
      <w:r>
        <w:t xml:space="preserve">1. Що таке сайт і де він живе</w:t>
      </w:r>
    </w:p>
    <w:tbl>
      <w:tblPr>
        <w:tblW w:type="dxa" w:w="850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400"/>
        <w:gridCol w:w="6100"/>
      </w:tblGrid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Адреса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body-health.care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Мови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українська, англійська, російська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Обсяг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18 сторінок у трьох мовах — 57 сторінок разом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Хостинг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Cloudflare Pages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Домен і пошта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Cloudflare DNS + Google Workspace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CRM-система</w:t>
            </w:r>
          </w:p>
        </w:tc>
        <w:tc>
          <w:tcPr>
            <w:tcW w:type="dxa" w:w="6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app.body-health.care — окремий сервер, переноситься наступним етапом</w:t>
            </w:r>
          </w:p>
        </w:tc>
      </w:tr>
    </w:tbl>
    <w:p/>
    <w:p>
      <w:pPr>
        <w:pStyle w:val="Heading1"/>
      </w:pPr>
      <w:r>
        <w:t xml:space="preserve">2. Правові документи приведено у відповідність</w:t>
      </w:r>
    </w:p>
    <w:p>
      <w:r>
        <w:t xml:space="preserve">Юрист перевірив опубліковані сторінки сайту і 16 вересня надав висновок із п’ятьма пунктами найвищого пріоритету. Усі п’ять закрито того ж дня.</w:t>
      </w:r>
    </w:p>
    <w:p>
      <w:pPr>
        <w:pStyle w:val="Heading2"/>
      </w:pPr>
      <w:r>
        <w:t xml:space="preserve">2.1. Сторона договору — одна в усіх документах</w:t>
      </w:r>
    </w:p>
    <w:p>
      <w:r>
        <w:t xml:space="preserve">Українська версія оферти називала стороною ФОП Яблонську С. І., а англійська та російська — «Body Health». Але «Body Health» — це торгова марка, а не суб’єкт права. За висновком юриста це означало, що англійська та російська версії формально не створювали зобов’язань у реального виконавця, і давало підставу для блокування платіжних акаунтів під час перевірки продавця.</w:t>
      </w:r>
    </w:p>
    <w:p>
      <w:r>
        <w:t xml:space="preserve">Тепер у всіх дев’яти правових сторінках — оферта трьома мовами, політика повернення трьома мовами, політика конфіденційності трьома мовами — стороною названо ФОП Яблонську Софію Ігорівну з реєстраційними даними, яка діє під торговою маркою «Body Health».</w:t>
      </w:r>
    </w:p>
    <w:p>
      <w:r>
        <w:t xml:space="preserve">Додано окремий пункт: якщо мовні версії розійдуться, переважає та, якою клієнт прийняв оферту.</w:t>
      </w:r>
    </w:p>
    <w:p>
      <w:pPr>
        <w:pStyle w:val="Heading2"/>
      </w:pPr>
      <w:r>
        <w:t xml:space="preserve">2.2. Політика повернення коштів</w:t>
      </w:r>
    </w:p>
    <w:p>
      <w:r>
        <w:t xml:space="preserve">Стара редакція обіцяла повернення «виключно протягом 24 годин». Юрист пояснив, що слово «виключно» юридично нічого не обмежує: 14-денне право на відмову не можна урізати договором.</w:t>
      </w:r>
    </w:p>
    <w:p>
      <w:r>
        <w:t xml:space="preserve">Нова редакція каже прямо: гроші повертаються протягом 24 годин, якщо звіт ще не надіслано, і в будь-який момент до надсилання звіту, скільки б часу не минуло, якщо послугу фактично не надано. Після надсилання звіту послуга вважається наданою. Критерій — «звіт не надіслано», а не «звіт не відкрито», щоб не сперечатися про технічні докази.</w:t>
      </w:r>
    </w:p>
    <w:p>
      <w:pPr>
        <w:pStyle w:val="Heading2"/>
      </w:pPr>
      <w:r>
        <w:t xml:space="preserve">2.3. Пакети послуг</w:t>
      </w:r>
    </w:p>
    <w:p>
      <w:r>
        <w:t xml:space="preserve">Оферта описувала пакети «Healthcare» та «Ambulance», яких на сайті вже не існує. Замінено на «Personal Care» та «Integrated Care» у всіх мовах, із переходним положенням: старі та нові назви тотожні, права клієнтів за раніше укладеними договорами зберігаються повністю.</w:t>
      </w:r>
    </w:p>
    <w:p>
      <w:pPr>
        <w:pStyle w:val="Heading2"/>
      </w:pPr>
      <w:r>
        <w:t xml:space="preserve">2.4. Політика конфіденційності переписана</w:t>
      </w:r>
    </w:p>
    <w:p>
      <w:r>
        <w:t xml:space="preserve">Раніше це була сторінка лише про інтеграцію з браслетом WHOOP. Вона не називала, хто володіє даними пацієнтів, не згадувала, що дані зберігаються на американській платформі Healthie, і містила загальну заяву «вся обробка відповідає GDPR». Юрист назвав це найуразливішим місцем сайту.</w:t>
      </w:r>
    </w:p>
    <w:p>
      <w:r>
        <w:t xml:space="preserve">Тепер це повноцінний документ з одинадцяти розділів, кожен трьома мовами: хто володіє даними, які дані збираються, як обробляються дані про здоров’я та що таке лікарська таємниця, які компанії є обробниками, чому дані передаються до США і на якій підставі, як вони захищені, скільки зберігаються, які права має пацієнт і як ними скористатися.</w:t>
      </w:r>
    </w:p>
    <w:p>
      <w:pPr>
        <w:pStyle w:val="Heading2"/>
      </w:pPr>
      <w:r>
        <w:t xml:space="preserve">2.5. Заяви про сертифікати</w:t>
      </w:r>
    </w:p>
    <w:p>
      <w:r>
        <w:t xml:space="preserve">На головній сторінці стояли три значки: HIPAA, GDPR та ISO 27001. Юрист перевірив: сертифікати належать платформі Healthie, а не клініці, а ISO 27001 немає навіть у Healthie.</w:t>
      </w:r>
    </w:p>
    <w:p>
      <w:r>
        <w:t xml:space="preserve">Значки замінено на справжні сертифікації платформи — HITRUST CSF, SOC 2, ONC Health IT — із чесним підписом, що це сертифікації платформи, де зберігаються дані. Напис у підвалі виправлено на 18 сторінках. У політиці конфіденційності прямо зазначено, що клініка не заявляє про власну сертифікацію.</w:t>
      </w:r>
    </w:p>
    <w:p>
      <w:pPr>
        <w:pStyle w:val="Heading2"/>
      </w:pPr>
      <w:r>
        <w:t xml:space="preserve">2.6. Дати редакцій</w:t>
      </w:r>
    </w:p>
    <w:p>
      <w:r>
        <w:t xml:space="preserve">Англійська оферта і політика конфіденційності взагалі не мали дати редакції — формально було незрозуміло, яка версія чинна. Тепер дата стоїть на всіх п’яти документах у всіх мовах: 16 вересня 2026 року.</w:t>
      </w:r>
    </w:p>
    <w:p>
      <w:pPr>
        <w:pStyle w:val="Heading1"/>
      </w:pPr>
      <w:r>
        <w:t xml:space="preserve">3. Що зроблено по сайту раніше</w:t>
      </w:r>
    </w:p>
    <w:p>
      <w:pPr>
        <w:pStyle w:val="Heading2"/>
      </w:pPr>
      <w:r>
        <w:t xml:space="preserve">Заявки з сайту</w:t>
      </w:r>
    </w:p>
    <w:tbl>
      <w:tblPr>
        <w:tblW w:type="dxa" w:w="850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000"/>
        <w:gridCol w:w="3250"/>
        <w:gridCol w:w="3250"/>
      </w:tblGrid>
      <w:tr>
        <w:trPr>
          <w:tblHeader/>
        </w:trPr>
        <w:tc>
          <w:tcPr>
            <w:tcW w:type="dxa" w:w="20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Тип заявки</w:t>
            </w:r>
          </w:p>
        </w:tc>
        <w:tc>
          <w:tcPr>
            <w:tcW w:type="dxa" w:w="325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Було</w:t>
            </w:r>
          </w:p>
        </w:tc>
        <w:tc>
          <w:tcPr>
            <w:tcW w:type="dxa" w:w="325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Стало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Заявка клієнта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Приходила на пошту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Приходить на пошту і у вкладку «Клієнти»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Заявка від компанії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Приходила з порожньою темою листа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Приходить із темою і у вкладку «Корпоративні»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Підписка на розсилку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Не працювала взагалі — адреса зникала без жодного повідомлення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Працює, адреса потрапляє у вкладку «Розсилка»</w:t>
            </w:r>
          </w:p>
        </w:tc>
      </w:tr>
    </w:tbl>
    <w:p/>
    <w:p>
      <w:r>
        <w:t xml:space="preserve">Кожна заявка тепер потрапляє одночасно на пошту info@body-health.care та у таблицю «BodyHealth — Заявки з сайту». Перевірено чотирма технічними відправленнями і одним справжнім заповненням форми у браузері.</w:t>
      </w:r>
    </w:p>
    <w:p>
      <w:pPr>
        <w:pStyle w:val="Heading2"/>
      </w:pPr>
      <w:r>
        <w:t xml:space="preserve">Корпоративна пошта і Диск</w:t>
      </w:r>
    </w:p>
    <w:p>
      <w:pPr>
        <w:pStyle w:val="ListParagraph"/>
        <w:numPr>
          <w:ilvl w:val="0"/>
          <w:numId w:val="2"/>
        </w:numPr>
      </w:pPr>
      <w:r>
        <w:t xml:space="preserve">Робочий простір Google Workspace на домені body-health.care, вісім адрес, сім фільтрів.</w:t>
      </w:r>
    </w:p>
    <w:p>
      <w:pPr>
        <w:pStyle w:val="ListParagraph"/>
        <w:numPr>
          <w:ilvl w:val="0"/>
          <w:numId w:val="2"/>
        </w:numPr>
      </w:pPr>
      <w:r>
        <w:t xml:space="preserve">Фірмовий бланк листа вшито у пошту як шаблон.</w:t>
      </w:r>
    </w:p>
    <w:p>
      <w:pPr>
        <w:pStyle w:val="ListParagraph"/>
        <w:numPr>
          <w:ilvl w:val="0"/>
          <w:numId w:val="2"/>
        </w:numPr>
      </w:pPr>
      <w:r>
        <w:t xml:space="preserve">Пересилання зі старої скриньки налаштовано і перевірено справжнім листом.</w:t>
      </w:r>
    </w:p>
    <w:p>
      <w:pPr>
        <w:pStyle w:val="ListParagraph"/>
        <w:numPr>
          <w:ilvl w:val="0"/>
          <w:numId w:val="2"/>
        </w:numPr>
      </w:pPr>
      <w:r>
        <w:t xml:space="preserve">445 файлів зі старого Диска перенесено — звірено поштучно, 445 із 445.</w:t>
      </w:r>
    </w:p>
    <w:p>
      <w:pPr>
        <w:pStyle w:val="Heading2"/>
      </w:pPr>
      <w:r>
        <w:t xml:space="preserve">Виправлені помилки на сайті</w:t>
      </w:r>
    </w:p>
    <w:p>
      <w:pPr>
        <w:pStyle w:val="ListParagraph"/>
        <w:numPr>
          <w:ilvl w:val="0"/>
          <w:numId w:val="2"/>
        </w:numPr>
      </w:pPr>
      <w:r>
        <w:t xml:space="preserve">Стаття в блозі про гіпертонію: зміст угорі мав 8 посилань, і жодне не працювало. Виправлено у трьох мовах.</w:t>
      </w:r>
    </w:p>
    <w:p>
      <w:pPr>
        <w:pStyle w:val="ListParagraph"/>
        <w:numPr>
          <w:ilvl w:val="0"/>
          <w:numId w:val="2"/>
        </w:numPr>
      </w:pPr>
      <w:r>
        <w:t xml:space="preserve">Форма підписки на розсилку не мала обробника — адреса відправлялася в нікуди. Написано обробник.</w:t>
      </w:r>
    </w:p>
    <w:p>
      <w:pPr>
        <w:pStyle w:val="ListParagraph"/>
        <w:numPr>
          <w:ilvl w:val="0"/>
          <w:numId w:val="2"/>
        </w:numPr>
      </w:pPr>
      <w:r>
        <w:t xml:space="preserve">Листи від корпоративних клієнтів приходили без теми. Тему додано.</w:t>
      </w:r>
    </w:p>
    <w:p>
      <w:pPr>
        <w:pStyle w:val="ListParagraph"/>
        <w:numPr>
          <w:ilvl w:val="0"/>
          <w:numId w:val="2"/>
        </w:numPr>
      </w:pPr>
      <w:r>
        <w:t xml:space="preserve">Політика конфіденційності не публікувалася англійською та російською через неповний переклад — сторінку не було видно взагалі. Тепер усі 18 сторінок виходять у всіх трьох мовах, неперекладених рядків не залишилося.</w:t>
      </w:r>
    </w:p>
    <w:p>
      <w:pPr>
        <w:pStyle w:val="ListParagraph"/>
        <w:numPr>
          <w:ilvl w:val="0"/>
          <w:numId w:val="2"/>
        </w:numPr>
      </w:pPr>
      <w:r>
        <w:t xml:space="preserve">Незакрита розмітка на сторінці політики конфіденційності — виправлено.</w:t>
      </w:r>
    </w:p>
    <w:p>
      <w:pPr>
        <w:pStyle w:val="Heading1"/>
      </w:pPr>
      <w:r>
        <w:t xml:space="preserve">4. Перевірка після всіх правок</w:t>
      </w:r>
    </w:p>
    <w:tbl>
      <w:tblPr>
        <w:tblW w:type="dxa" w:w="850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900"/>
        <w:gridCol w:w="5600"/>
      </w:tblGrid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Збірка сайту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57 сторінок, без помилок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Переклади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18 з 18 сторінок у кожній мові, 0 неперекладених рядків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Посилання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0 битих посилань, 0 битих якорів на 57 сторінках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Розмітка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0 помилок вкладеності на змінених сторінках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Форми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5 форм із робочою адресою доставки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Сторона договору</w:t>
            </w:r>
          </w:p>
        </w:tc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ФОП і реєстраційний номер присутні на всіх 9 правових сторінках</w:t>
            </w:r>
          </w:p>
        </w:tc>
      </w:tr>
    </w:tbl>
    <w:p/>
    <w:p>
      <w:pPr>
        <w:pStyle w:val="Heading1"/>
      </w:pPr>
      <w:r>
        <w:t xml:space="preserve">5. Що залишилося</w:t>
      </w:r>
    </w:p>
    <w:p>
      <w:r>
        <w:t xml:space="preserve">Жодне з переліченого не блокує роботу сайту, і жодне не робиться на самому сайті — це дії у зовнішніх системах або рішення керівництва.</w:t>
      </w:r>
    </w:p>
    <w:tbl>
      <w:tblPr>
        <w:tblW w:type="dxa" w:w="850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500"/>
        <w:gridCol w:w="6300"/>
        <w:gridCol w:w="1700"/>
      </w:tblGrid>
      <w:tr>
        <w:trPr>
          <w:tblHeader/>
        </w:trPr>
        <w:tc>
          <w:tcPr>
            <w:tcW w:type="dxa" w:w="5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№</w:t>
            </w:r>
          </w:p>
        </w:tc>
        <w:tc>
          <w:tcPr>
            <w:tcW w:type="dxa" w:w="63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Питання</w:t>
            </w:r>
          </w:p>
        </w:tc>
        <w:tc>
          <w:tcPr>
            <w:tcW w:type="dxa" w:w="1700"/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03D82"/>
                <w:sz w:val="21"/>
                <w:szCs w:val="21"/>
              </w:rPr>
              <w:t xml:space="preserve">Чиє рішення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Лист-підтвердження після оплати з умовами послуги. Без нього строк на відмову від договору за законом подовжується з 14 до 90 днів. Налаштовується у Healthie.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Керівництво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Підписати угоду про обробку даних (BAA/DPA) з платформою Healthie.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Керівництво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Внести номер медичної ліцензії в оферту — ліцензія є, номер потрібно надати.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Керівництво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На сайті два різні телефони: +380 98 150 14 98 і +38 096 267 50 52. Юрист вимагає єдиний контакт виконавця. Не змінював самостійно — обидва можуть бути робочими.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Керівництво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Юридична особа у платіжного провайдера має збігатися з ФОП, інакше виплати можуть заморозити.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Керівництво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6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Повідомити діючих клієнтів за 14 днів до набрання чинності новою редакцією, з таблицею відповідності назв пакетів.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Адміністрація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7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Публічний архів редакцій документів із датами.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Адміністрація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8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Головна сторінка відкривається українською, хоча пріоритетна аудиторія англомовна. Потрібне рішення.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Керівництво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9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Форма підписки на розсилку стоїть лише на 2 із 8 сторінок блогу.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Керівництво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10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Біографія автора статті: «кардіолог із 15-річним досвідом, понад 50 публікацій» — підтвердити або прибрати.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Медичний директор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11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Перенесення CRM-системи app.body-health.care на новий сервер — окремий етап, виконується вночі, щоб не переривати роботу.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3"/>
                <w:sz w:val="21"/>
                <w:szCs w:val="21"/>
              </w:rPr>
              <w:t xml:space="preserve">Наступний етап</w:t>
            </w:r>
          </w:p>
        </w:tc>
      </w:tr>
    </w:tbl>
    <w:p/>
    <w:p>
      <w:pPr>
        <w:pStyle w:val="Heading1"/>
      </w:pPr>
      <w:r>
        <w:t xml:space="preserve">6. Висновок</w:t>
      </w:r>
    </w:p>
    <w:p>
      <w:r>
        <w:t xml:space="preserve">Сайт закрито як етап. Він працює, заявки не губляться, пошта на домені, файли перенесені, правові документи приведені у відповідність до висновку юриста. Одинадцять пунктів вище — це налаштування у зовнішніх сервісах, кадрові підтвердження та рішення про контент; жоден із них не заважає сайту приймати клієнтів.</w:t>
      </w:r>
    </w:p>
    <w:p>
      <w:r>
        <w:t xml:space="preserve">Наступний крок — перенесення CRM-системи на новий сервер. Воно виконується вночі, щоб уранці співробітники й пацієнти застали систему працюючою на новому сервері без перерви.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spacing w:after="90"/>
        <w:ind w:left="460" w:hanging="316"/>
      </w:pPr>
    </w:lvl>
    <w:lvl w:ilvl="1" w15:tentative="1">
      <w:start w:val="1"/>
      <w:numFmt w:val="bullet"/>
      <w:lvlText w:val="·"/>
      <w:lvlJc w:val="left"/>
      <w:pPr>
        <w:spacing w:after="70"/>
        <w:ind w:left="892" w:hanging="3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518" w:hanging="37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" w:cs="Calibri" w:eastAsia="Calibri" w:hAnsi="Calibri"/>
      <w:b/>
      <w:bCs/>
      <w:color w:val="003D8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1F293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pPr>
      <w:spacing w:after="80"/>
    </w:pPr>
    <w:rPr>
      <w:rFonts w:ascii="Calibri" w:cs="Calibri" w:eastAsia="Calibri" w:hAnsi="Calibri"/>
      <w:b/>
      <w:bCs/>
      <w:color w:val="003D82"/>
      <w:sz w:val="40"/>
      <w:szCs w:val="40"/>
    </w:rPr>
  </w:style>
  <w:style w:type="paragraph" w:styleId="DocSub">
    <w:name w:val="DocSub"/>
    <w:basedOn w:val="Normal"/>
    <w:pPr>
      <w:spacing w:after="60"/>
    </w:pPr>
    <w:rPr>
      <w:rFonts w:ascii="Calibri" w:cs="Calibri" w:eastAsia="Calibri" w:hAnsi="Calibri"/>
      <w:color w:val="6B7280"/>
      <w:sz w:val="22"/>
      <w:szCs w:val="22"/>
    </w:rPr>
  </w:style>
  <w:style w:type="paragraph" w:styleId="Note">
    <w:name w:val="Note"/>
    <w:basedOn w:val="Normal"/>
    <w:pPr>
      <w:pBdr>
        <w:left w:val="single" w:color="003D82" w:sz="18" w:space="10"/>
      </w:pBdr>
      <w:spacing w:after="160" w:before="80"/>
      <w:ind w:left="259"/>
    </w:pPr>
    <w:rPr>
      <w:rFonts w:ascii="Calibri" w:cs="Calibri" w:eastAsia="Calibri" w:hAnsi="Calibri"/>
      <w:color w:val="1F29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2026-09-16T05:50:00.454Z</dcterms:created>
  <dcterms:modified xsi:type="dcterms:W3CDTF">2026-09-16T05:50:00.462Z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