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artner_programme-the-direction"/>
    <w:p>
      <w:pPr>
        <w:pStyle w:val="Heading1"/>
      </w:pPr>
      <w:r>
        <w:t xml:space="preserve">00_PARTNER_PROGRAMME — The direction</w:t>
      </w:r>
    </w:p>
    <w:p>
      <w:pPr>
        <w:pStyle w:val="FirstParagraph"/>
      </w:pPr>
      <w:r>
        <w:t xml:space="preserve">This folder holds the current strategic core of Body Recode Collective: the</w:t>
      </w:r>
      <w:r>
        <w:t xml:space="preserve"> </w:t>
      </w:r>
      <w:r>
        <w:rPr>
          <w:b/>
          <w:bCs/>
        </w:rPr>
        <w:t xml:space="preserve">the Collective powered-platform program</w:t>
      </w:r>
      <w:r>
        <w:t xml:space="preserve">. Read this first.</w:t>
      </w:r>
    </w:p>
    <w:p>
      <w:pPr>
        <w:pStyle w:val="BodyText"/>
      </w:pPr>
      <w:r>
        <w:t xml:space="preserve">Last updated: 2026-06-30</w:t>
      </w:r>
    </w:p>
    <w:p>
      <w:r>
        <w:pict>
          <v:rect style="width:0;height:1.5pt" o:hralign="center" o:hrstd="t" o:hr="t"/>
        </w:pict>
      </w:r>
    </w:p>
    <w:bookmarkStart w:id="9" w:name="what-collective-is-now"/>
    <w:p>
      <w:pPr>
        <w:pStyle w:val="Heading2"/>
      </w:pPr>
      <w:r>
        <w:t xml:space="preserve">What Collective is now</w:t>
      </w:r>
    </w:p>
    <w:p>
      <w:pPr>
        <w:pStyle w:val="FirstParagraph"/>
      </w:pPr>
      <w:r>
        <w:t xml:space="preserve">Body Recode Collective has pulled back from leading with bespoke</w:t>
      </w:r>
      <w:r>
        <w:t xml:space="preserve"> </w:t>
      </w:r>
      <w:r>
        <w:t xml:space="preserve">“we’ll build you anything”</w:t>
      </w:r>
      <w:r>
        <w:t xml:space="preserve"> </w:t>
      </w:r>
      <w:r>
        <w:t xml:space="preserve">studio work (call that</w:t>
      </w:r>
      <w:r>
        <w:t xml:space="preserve"> </w:t>
      </w:r>
      <w:r>
        <w:rPr>
          <w:b/>
          <w:bCs/>
        </w:rPr>
        <w:t xml:space="preserve">Lane A</w:t>
      </w:r>
      <w:r>
        <w:t xml:space="preserve">). The front door is now the</w:t>
      </w:r>
      <w:r>
        <w:t xml:space="preserve"> </w:t>
      </w:r>
      <w:r>
        <w:rPr>
          <w:b/>
          <w:bCs/>
        </w:rPr>
        <w:t xml:space="preserve">powered platform</w:t>
      </w:r>
      <w:r>
        <w:t xml:space="preserve"> </w:t>
      </w:r>
      <w:r>
        <w:t xml:space="preserve">(</w:t>
      </w:r>
      <w:r>
        <w:rPr>
          <w:b/>
          <w:bCs/>
        </w:rPr>
        <w:t xml:space="preserve">Lane B</w:t>
      </w:r>
      <w:r>
        <w:t xml:space="preserve">):</w:t>
      </w:r>
    </w:p>
    <w:p>
      <w:pPr>
        <w:pStyle w:val="BlockText"/>
      </w:pPr>
      <w:r>
        <w:t xml:space="preserve">A practitioner gets the</w:t>
      </w:r>
      <w:r>
        <w:t xml:space="preserve"> </w:t>
      </w:r>
      <w:r>
        <w:rPr>
          <w:b/>
          <w:bCs/>
        </w:rPr>
        <w:t xml:space="preserve">Body Recode coaching engine + website + onboarding</w:t>
      </w:r>
      <w:r>
        <w:t xml:space="preserve">, white-labelled to their brand and their modality, delivered as a productised package. Open to allied coaches.</w:t>
      </w:r>
    </w:p>
    <w:p>
      <w:pPr>
        <w:pStyle w:val="FirstParagraph"/>
      </w:pPr>
      <w:r>
        <w:t xml:space="preserve">Lane A still exists as bespoke overflow, but it is no longer the pitch. Early partners prove the powered model; evergreen comes after.</w:t>
      </w:r>
    </w:p>
    <w:bookmarkEnd w:id="9"/>
    <w:bookmarkStart w:id="10" w:name="why-ten"/>
    <w:p>
      <w:pPr>
        <w:pStyle w:val="Heading2"/>
      </w:pPr>
      <w:r>
        <w:t xml:space="preserve">Why</w:t>
      </w:r>
      <w:r>
        <w:t xml:space="preserve"> </w:t>
      </w:r>
      <w:r>
        <w:t xml:space="preserve">“ten”</w:t>
      </w:r>
    </w:p>
    <w:p>
      <w:pPr>
        <w:pStyle w:val="FirstParagraph"/>
      </w:pPr>
      <w:r>
        <w:t xml:space="preserve">The cap is the offer. Ten lets each founding partner get real attention during build + launch, keeps the platform multi-tenant-but-curated, and creates honest scarcity for the founding pricing. After the ten are live and stable, the model opens up (B: method-injection, evergreen seats).</w:t>
      </w:r>
    </w:p>
    <w:bookmarkEnd w:id="10"/>
    <w:bookmarkStart w:id="11" w:name="the-two-layers-we-sell"/>
    <w:p>
      <w:pPr>
        <w:pStyle w:val="Heading2"/>
      </w:pPr>
      <w:r>
        <w:t xml:space="preserve">The two layers we sell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1 — the interpretation engine.</w:t>
      </w:r>
      <w:r>
        <w:t xml:space="preserve"> </w:t>
      </w:r>
      <w:r>
        <w:t xml:space="preserve">Diagnosis: scorecard → reading → state. Runs the BR doctrine now (decision</w:t>
      </w:r>
      <w:r>
        <w:t xml:space="preserve"> </w:t>
      </w:r>
      <w:r>
        <w:rPr>
          <w:b/>
          <w:bCs/>
        </w:rPr>
        <w:t xml:space="preserve">A</w:t>
      </w:r>
      <w:r>
        <w:t xml:space="preserve">); partners inject their own method later (</w:t>
      </w:r>
      <w:r>
        <w:rPr>
          <w:b/>
          <w:bCs/>
        </w:rPr>
        <w:t xml:space="preserve">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2 — the coaching application.</w:t>
      </w:r>
      <w:r>
        <w:t xml:space="preserve"> </w:t>
      </w:r>
      <w:r>
        <w:t xml:space="preserve">Prescription: programs, nutrition, check-ins, portal. Everything coach-gated. The scorecard lead magnet sits at the top of Layer 2.</w:t>
      </w:r>
    </w:p>
    <w:bookmarkEnd w:id="11"/>
    <w:bookmarkStart w:id="13" w:name="whats-in-this-folder"/>
    <w:p>
      <w:pPr>
        <w:pStyle w:val="Heading2"/>
      </w:pPr>
      <w:r>
        <w:t xml:space="preserve">What’s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/ folder</w:t>
            </w:r>
          </w:p>
        </w:tc>
        <w:tc>
          <w:tcPr/>
          <w:p>
            <w:pPr>
              <w:pStyle w:val="Compact"/>
            </w:pPr>
            <w:r>
              <w:t xml:space="preserve">What’s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OFFER_ARCHITECTURE.md</w:t>
            </w:r>
          </w:p>
        </w:tc>
        <w:tc>
          <w:tcPr/>
          <w:p>
            <w:pPr>
              <w:pStyle w:val="Compact"/>
            </w:pPr>
            <w:r>
              <w:t xml:space="preserve">The founding-partner offer: the ladder (Powered Partner → Launch → Studio), three-layer pricing (setup + subscription + per-seat), economics. Canonical Collective copy.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POWERED_PLATFORM_BUILD_PLAN.md</w:t>
            </w:r>
          </w:p>
        </w:tc>
        <w:tc>
          <w:tcPr/>
          <w:p>
            <w:pPr>
              <w:pStyle w:val="Compact"/>
            </w:pPr>
            <w:r>
              <w:t xml:space="preserve">The Layer 1 / Layer 2 build plan — what’s needed to have both ready to sell, multi-tenancy readiness.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modalities/</w:t>
            </w:r>
          </w:p>
        </w:tc>
        <w:tc>
          <w:tcPr/>
          <w:p>
            <w:pPr>
              <w:pStyle w:val="Compact"/>
            </w:pPr>
            <w:r>
              <w:t xml:space="preserve">The modality packs. Each modality (yoga now, Pilates next) gets a doctrine + scope. See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</w:t>
            </w:r>
          </w:p>
        </w:tc>
        <w:tc>
          <w:tcPr/>
          <w:p>
            <w:pPr>
              <w:pStyle w:val="Compact"/>
            </w:pPr>
            <w:r>
              <w:t xml:space="preserve">The founding-partner onboarding flow: IP extraction → build → launch.</w:t>
            </w:r>
          </w:p>
        </w:tc>
      </w:tr>
    </w:tbl>
    <w:bookmarkStart w:id="12" w:name="modalities"/>
    <w:p>
      <w:pPr>
        <w:pStyle w:val="Heading3"/>
      </w:pPr>
      <w:r>
        <w:t xml:space="preserve">modalities/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What’s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YOGA_MODALITY_SCOPE.md</w:t>
            </w:r>
          </w:p>
        </w:tc>
        <w:tc>
          <w:tcPr/>
          <w:p>
            <w:pPr>
              <w:pStyle w:val="Compact"/>
            </w:pPr>
            <w:r>
              <w:t xml:space="preserve">Scope of the yoga modality build — what reaches parity with strength, what’s deferred.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YOGA_DOCTRINE_v1.md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The yoga generation doctrine: intensity ceilings by state, contraindication filtering, practice arc, sequencing rules.</w:t>
            </w:r>
          </w:p>
        </w:tc>
      </w:tr>
    </w:tbl>
    <w:bookmarkEnd w:id="12"/>
    <w:bookmarkEnd w:id="13"/>
    <w:bookmarkStart w:id="14" w:name="pointers-not-in-this-folder"/>
    <w:p>
      <w:pPr>
        <w:pStyle w:val="Heading2"/>
      </w:pPr>
      <w:r>
        <w:t xml:space="preserve">Pointers (not in this folder)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code</w:t>
      </w:r>
      <w:r>
        <w:t xml:space="preserve"> </w:t>
      </w:r>
      <w:r>
        <w:t xml:space="preserve">— the yoga modality is built in the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repo on the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branch (pushed to GitHub). Not in Dropbox by design; it’s the app codebase.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website</w:t>
      </w:r>
      <w:r>
        <w:t xml:space="preserve"> </w:t>
      </w:r>
      <w:r>
        <w:t xml:space="preserve">— the repositioned Collective site is</w:t>
      </w:r>
      <w:r>
        <w:t xml:space="preserve"> </w:t>
      </w:r>
      <w:r>
        <w:rPr>
          <w:rStyle w:val="VerbatimChar"/>
        </w:rPr>
        <w:t xml:space="preserve">../02_WEBSITE/landing-v2-draft.html</w:t>
      </w:r>
      <w:r>
        <w:t xml:space="preserve"> </w:t>
      </w:r>
      <w:r>
        <w:t xml:space="preserve">(founding-ten spine +</w:t>
      </w:r>
      <w:r>
        <w:t xml:space="preserve"> </w:t>
      </w:r>
      <w:r>
        <w:t xml:space="preserve">“why a scorecard”</w:t>
      </w:r>
      <w:r>
        <w:t xml:space="preserve"> </w:t>
      </w:r>
      <w:r>
        <w:t xml:space="preserve">section).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Melisa origin</w:t>
      </w:r>
      <w:r>
        <w:t xml:space="preserve"> </w:t>
      </w:r>
      <w:r>
        <w:t xml:space="preserve">— the offer was born from the Melisa partnership. Those artifacts live in</w:t>
      </w:r>
      <w:r>
        <w:t xml:space="preserve"> </w:t>
      </w:r>
      <w:r>
        <w:rPr>
          <w:rStyle w:val="VerbatimChar"/>
        </w:rPr>
        <w:t xml:space="preserve">01_BODY_RECODE/09_PARTNERSHIPS/</w:t>
      </w:r>
      <w:r>
        <w:t xml:space="preserve"> </w:t>
      </w:r>
      <w:r>
        <w:t xml:space="preserve">(</w:t>
      </w:r>
      <w:r>
        <w:rPr>
          <w:rStyle w:val="VerbatimChar"/>
        </w:rPr>
        <w:t xml:space="preserve">Founding_Partner_Offer_Architecture.md</w:t>
      </w:r>
      <w:r>
        <w:t xml:space="preserve"> </w:t>
      </w:r>
      <w:r>
        <w:t xml:space="preserve">is the original; the copy here is canonical for Collective). Also the</w:t>
      </w:r>
      <w:r>
        <w:t xml:space="preserve"> </w:t>
      </w:r>
      <w:r>
        <w:rPr>
          <w:rStyle w:val="VerbatimChar"/>
        </w:rPr>
        <w:t xml:space="preserve">Melisa_Partnership_Proposal.pdf</w:t>
      </w:r>
      <w:r>
        <w:t xml:space="preserve">.</w:t>
      </w:r>
    </w:p>
    <w:bookmarkEnd w:id="14"/>
    <w:bookmarkStart w:id="15" w:name="note-on-the-rest-of-this-folder"/>
    <w:p>
      <w:pPr>
        <w:pStyle w:val="Heading2"/>
      </w:pPr>
      <w:r>
        <w:t xml:space="preserve">Note on the rest of this folder</w:t>
      </w:r>
    </w:p>
    <w:p>
      <w:pPr>
        <w:pStyle w:val="FirstParagraph"/>
      </w:pPr>
      <w:r>
        <w:rPr>
          <w:rStyle w:val="VerbatimChar"/>
        </w:rPr>
        <w:t xml:space="preserve">00_OVERVIEW/</w:t>
      </w:r>
      <w:r>
        <w:t xml:space="preserve"> </w:t>
      </w:r>
      <w:r>
        <w:t xml:space="preserve">(studio-overview, service-menu, ideal-client-profile) still describes the</w:t>
      </w:r>
      <w:r>
        <w:t xml:space="preserve"> </w:t>
      </w:r>
      <w:r>
        <w:rPr>
          <w:b/>
          <w:bCs/>
        </w:rPr>
        <w:t xml:space="preserve">older bespoke positioning</w:t>
      </w:r>
      <w:r>
        <w:t xml:space="preserve">. It has not been rewritten to the founding-ten direction yet — treat this README as the current truth where they conflict. The operational folders (</w:t>
      </w:r>
      <w:r>
        <w:rPr>
          <w:rStyle w:val="VerbatimChar"/>
        </w:rPr>
        <w:t xml:space="preserve">01_BRAND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09_INTERNAL_TOOLS</w:t>
      </w:r>
      <w:r>
        <w:t xml:space="preserve">) remain valid supporting infrastructure.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2026-08-18T03:06:49Z</dcterms:created>
  <dcterms:modified xsi:type="dcterms:W3CDTF">2026-08-18T03:06:49Z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