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ip-protection-map"/>
    <w:p>
      <w:pPr>
        <w:pStyle w:val="Heading1"/>
      </w:pPr>
      <w:r>
        <w:t xml:space="preserve">IP Protection Map</w:t>
      </w:r>
    </w:p>
    <w:p>
      <w:pPr>
        <w:pStyle w:val="FirstParagraph"/>
      </w:pPr>
      <w:r>
        <w:rPr>
          <w:b/>
          <w:bCs/>
        </w:rPr>
        <w:t xml:space="preserve">Body Recode — what to register, what’s automatic, what to keep secret</w:t>
      </w:r>
      <w:r>
        <w:t xml:space="preserve"> </w:t>
      </w:r>
      <w:r>
        <w:rPr>
          <w:b/>
          <w:bCs/>
        </w:rPr>
        <w:t xml:space="preserve">v0.1 — For the IP lawyer to confirm. Not legal advice; AU-general.</w:t>
      </w:r>
    </w:p>
    <w:p>
      <w:pPr>
        <w:pStyle w:val="BodyText"/>
      </w:pPr>
      <w:r>
        <w:t xml:space="preserve">The short version:</w:t>
      </w:r>
      <w:r>
        <w:t xml:space="preserve"> </w:t>
      </w:r>
      <w:r>
        <w:rPr>
          <w:b/>
          <w:bCs/>
        </w:rPr>
        <w:t xml:space="preserve">only one thing is actively registered — trade marks.</w:t>
      </w:r>
      <w:r>
        <w:t xml:space="preserve"> </w:t>
      </w:r>
      <w:r>
        <w:t xml:space="preserve">Everything else is either automatic (copyright) or protected by secrecy + contracts (trade secrets). The engine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patented.</w:t>
      </w:r>
    </w:p>
    <w:p>
      <w:pPr>
        <w:pStyle w:val="BodyText"/>
      </w:pPr>
      <w:r>
        <w:t xml:space="preserve">Context: IP is owned by</w:t>
      </w:r>
      <w:r>
        <w:t xml:space="preserve"> </w:t>
      </w:r>
      <w:r>
        <w:rPr>
          <w:b/>
          <w:bCs/>
        </w:rPr>
        <w:t xml:space="preserve">Kade Robert Dunstone personally</w:t>
      </w:r>
      <w:r>
        <w:t xml:space="preserve"> </w:t>
      </w:r>
      <w:r>
        <w:t xml:space="preserve">(sole trader t/a Body Recode, ABN 90 535 525 708) and licensed down to the operating company / partners.</w:t>
      </w:r>
      <w:r>
        <w:t xml:space="preserve"> </w:t>
      </w:r>
      <w:r>
        <w:rPr>
          <w:b/>
          <w:bCs/>
        </w:rPr>
        <w:t xml:space="preserve">Trade marks not yet filed — the process has not started.</w:t>
      </w:r>
      <w:r>
        <w:t xml:space="preserve"> </w:t>
      </w:r>
      <w:r>
        <w:t xml:space="preserve">See the package cover note +</w:t>
      </w:r>
      <w:r>
        <w:t xml:space="preserve"> </w:t>
      </w:r>
      <w:r>
        <w:rPr>
          <w:rStyle w:val="VerbatimChar"/>
        </w:rPr>
        <w:t xml:space="preserve">DECISIONS_NEEDED.md</w:t>
      </w:r>
      <w:r>
        <w:t xml:space="preserve"> </w:t>
      </w:r>
      <w:r>
        <w:t xml:space="preserve">(§2.3 lists what to file).</w:t>
      </w:r>
    </w:p>
    <w:p>
      <w:r>
        <w:pict>
          <v:rect style="width:0;height:1.5pt" o:hralign="center" o:hrstd="t" o:hr="t"/>
        </w:pict>
      </w:r>
    </w:p>
    <w:bookmarkStart w:id="9" w:name="the-five-buckets"/>
    <w:p>
      <w:pPr>
        <w:pStyle w:val="Heading2"/>
      </w:pPr>
      <w:r>
        <w:t xml:space="preserve">The five buckets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300"/>
        <w:gridCol w:w="181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 type</w:t>
            </w:r>
          </w:p>
        </w:tc>
        <w:tc>
          <w:tcPr/>
          <w:p>
            <w:pPr>
              <w:pStyle w:val="Compact"/>
            </w:pPr>
            <w:r>
              <w:t xml:space="preserve">What it covers here</w:t>
            </w:r>
          </w:p>
        </w:tc>
        <w:tc>
          <w:tcPr/>
          <w:p>
            <w:pPr>
              <w:pStyle w:val="Compact"/>
            </w:pPr>
            <w:r>
              <w:t xml:space="preserve">Register?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Copyright</w:t>
            </w:r>
          </w:p>
        </w:tc>
        <w:tc>
          <w:tcPr/>
          <w:p>
            <w:pPr>
              <w:pStyle w:val="Compact"/>
            </w:pPr>
            <w:r>
              <w:t xml:space="preserve">Source code, doctrine documents, prompts (as written expression), website + PDF + email content, UI and graphics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automatic</w:t>
            </w:r>
          </w:p>
        </w:tc>
        <w:tc>
          <w:tcPr/>
          <w:p>
            <w:pPr>
              <w:pStyle w:val="Compact"/>
            </w:pPr>
            <w:r>
              <w:t xml:space="preserve">No register exists in Australia. Protection is automatic on creation. Keep dated records of authorship + apply © notices.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 marks</w:t>
            </w:r>
          </w:p>
        </w:tc>
        <w:tc>
          <w:tcPr/>
          <w:p>
            <w:pPr>
              <w:pStyle w:val="Compact"/>
            </w:pPr>
            <w:r>
              <w:t xml:space="preserve">“Body Recode”</w:t>
            </w:r>
            <w:r>
              <w:t xml:space="preserve"> </w:t>
            </w:r>
            <w:r>
              <w:t xml:space="preserve">wordmark, BR logo,</w:t>
            </w:r>
            <w:r>
              <w:t xml:space="preserve"> </w:t>
            </w:r>
            <w:r>
              <w:t xml:space="preserve">“Powered by Body Recode”</w:t>
            </w:r>
            <w:r>
              <w:t xml:space="preserve"> </w:t>
            </w:r>
            <w:r>
              <w:t xml:space="preserve">lockup, and any product names to protect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the one active registration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started.</w:t>
            </w:r>
            <w:r>
              <w:t xml:space="preserve"> </w:t>
            </w:r>
            <w:r>
              <w:t xml:space="preserve">File these — marks + classes below / in</w:t>
            </w:r>
            <w:r>
              <w:t xml:space="preserve"> </w:t>
            </w:r>
            <w:r>
              <w:rPr>
                <w:rStyle w:val="VerbatimChar"/>
              </w:rPr>
              <w:t xml:space="preserve">DECISIONS_NEEDED</w:t>
            </w:r>
            <w:r>
              <w:t xml:space="preserve"> </w:t>
            </w:r>
            <w:r>
              <w:t xml:space="preserve">§2.3.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 secrets</w:t>
            </w:r>
          </w:p>
        </w:tc>
        <w:tc>
          <w:tcPr/>
          <w:p>
            <w:pPr>
              <w:pStyle w:val="Compact"/>
            </w:pPr>
            <w:r>
              <w:t xml:space="preserve">The engine algorithms, the Doctrine (rules, safety floors, decision trees, banned-term lists), prompt libraries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never register</w:t>
            </w:r>
          </w:p>
        </w:tc>
        <w:tc>
          <w:tcPr/>
          <w:p>
            <w:pPr>
              <w:pStyle w:val="Compact"/>
            </w:pPr>
            <w:r>
              <w:t xml:space="preserve">Protect by secrecy + contracts. Already covered by the NDA + the Deed’s perpetual confidentiality on trade secrets. Maintain need-to-know internal access.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Patents</w:t>
            </w:r>
          </w:p>
        </w:tc>
        <w:tc>
          <w:tcPr/>
          <w:p>
            <w:pPr>
              <w:pStyle w:val="Compact"/>
            </w:pPr>
            <w:r>
              <w:t xml:space="preserve">Inventions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deliberately avoid</w:t>
            </w:r>
          </w:p>
        </w:tc>
        <w:tc>
          <w:tcPr/>
          <w:p>
            <w:pPr>
              <w:pStyle w:val="Compact"/>
            </w:pPr>
            <w:r>
              <w:t xml:space="preserve">AU is hostile to software/algorithm patents, and patenting forces public disclosure that would destroy trade-secret protection. Keep the engine secret instead.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Registered design</w:t>
            </w:r>
          </w:p>
        </w:tc>
        <w:tc>
          <w:tcPr/>
          <w:p>
            <w:pPr>
              <w:pStyle w:val="Compact"/>
            </w:pPr>
            <w:r>
              <w:t xml:space="preserve">The visual appearance of the product</w:t>
            </w:r>
          </w:p>
        </w:tc>
        <w:tc>
          <w:tcPr/>
          <w:p>
            <w:pPr>
              <w:pStyle w:val="Compact"/>
            </w:pPr>
            <w:r>
              <w:t xml:space="preserve">Optional — likely skip</w:t>
            </w:r>
          </w:p>
        </w:tc>
        <w:tc>
          <w:tcPr/>
          <w:p>
            <w:pPr>
              <w:pStyle w:val="Compact"/>
            </w:pPr>
            <w:r>
              <w:t xml:space="preserve">Rarely worth it for a web app. Revisit only if a distinctive UI needs protecting.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he-two-priorities"/>
    <w:p>
      <w:pPr>
        <w:pStyle w:val="Heading2"/>
      </w:pPr>
      <w:r>
        <w:t xml:space="preserve">The two priorities</w:t>
      </w:r>
    </w:p>
    <w:p>
      <w:pPr>
        <w:pStyle w:val="FirstParagraph"/>
      </w:pPr>
      <w:r>
        <w:rPr>
          <w:b/>
          <w:bCs/>
        </w:rPr>
        <w:t xml:space="preserve">1. Trade marks — the only active registration.</w:t>
      </w:r>
      <w:r>
        <w:t xml:space="preserve"> </w:t>
      </w:r>
      <w:r>
        <w:t xml:space="preserve">Copyright already protects the code and content for free,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protect the brand name. Only a registered trade mark stops a competitor calling their platform</w:t>
      </w:r>
      <w:r>
        <w:t xml:space="preserve"> </w:t>
      </w:r>
      <w:r>
        <w:t xml:space="preserve">“Body Recode.”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 to file: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(software/apps),</w:t>
      </w:r>
      <w:r>
        <w:t xml:space="preserve"> </w:t>
      </w:r>
      <w:r>
        <w:rPr>
          <w:b/>
          <w:bCs/>
        </w:rPr>
        <w:t xml:space="preserve">42</w:t>
      </w:r>
      <w:r>
        <w:t xml:space="preserve"> </w:t>
      </w:r>
      <w:r>
        <w:t xml:space="preserve">(SaaS — core),</w:t>
      </w:r>
      <w:r>
        <w:t xml:space="preserve"> </w:t>
      </w:r>
      <w:r>
        <w:rPr>
          <w:b/>
          <w:bCs/>
        </w:rPr>
        <w:t xml:space="preserve">41</w:t>
      </w:r>
      <w:r>
        <w:t xml:space="preserve"> </w:t>
      </w:r>
      <w:r>
        <w:t xml:space="preserve">(coaching/education/fitness — core), consider</w:t>
      </w:r>
      <w:r>
        <w:t xml:space="preserve"> </w:t>
      </w:r>
      <w:r>
        <w:rPr>
          <w:b/>
          <w:bCs/>
        </w:rPr>
        <w:t xml:space="preserve">44</w:t>
      </w:r>
      <w:r>
        <w:t xml:space="preserve"> </w:t>
      </w:r>
      <w:r>
        <w:t xml:space="preserve">(health/nutrition/wellness). IP lawyer to confirm the exact spread.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to file:</w:t>
      </w:r>
      <w:r>
        <w:t xml:space="preserve"> </w:t>
      </w:r>
      <w:r>
        <w:t xml:space="preserve">“Body Recode”</w:t>
      </w:r>
      <w:r>
        <w:t xml:space="preserve"> </w:t>
      </w:r>
      <w:r>
        <w:rPr>
          <w:b/>
          <w:bCs/>
        </w:rPr>
        <w:t xml:space="preserve">word mark first</w:t>
      </w:r>
      <w:r>
        <w:t xml:space="preserve"> </w:t>
      </w:r>
      <w:r>
        <w:t xml:space="preserve">(#1), then the</w:t>
      </w:r>
      <w:r>
        <w:t xml:space="preserve"> </w:t>
      </w:r>
      <w:r>
        <w:rPr>
          <w:b/>
          <w:bCs/>
        </w:rPr>
        <w:t xml:space="preserve">logo</w:t>
      </w:r>
      <w:r>
        <w:t xml:space="preserve">;</w:t>
      </w:r>
      <w:r>
        <w:t xml:space="preserve"> </w:t>
      </w:r>
      <w:r>
        <w:t xml:space="preserve">“Powered by Body Recode”</w:t>
      </w:r>
      <w:r>
        <w:t xml:space="preserve"> </w:t>
      </w:r>
      <w:r>
        <w:t xml:space="preserve">is usually covered by the word mark.</w:t>
      </w:r>
      <w:r>
        <w:t xml:space="preserve"> </w:t>
      </w:r>
      <w:r>
        <w:rPr>
          <w:b/>
          <w:bCs/>
        </w:rPr>
        <w:t xml:space="preserve">Decision:</w:t>
      </w:r>
      <w:r>
        <w:t xml:space="preserve"> </w:t>
      </w:r>
      <w:r>
        <w:t xml:space="preserve">also protect product terms (e.g. </w:t>
      </w:r>
      <w:r>
        <w:t xml:space="preserve">“Fat Map”</w:t>
      </w:r>
      <w:r>
        <w:t xml:space="preserve">)? — flag which.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How:</w:t>
      </w:r>
      <w:r>
        <w:t xml:space="preserve"> </w:t>
      </w:r>
      <w:r>
        <w:t xml:space="preserve">let the IP lawyer run a</w:t>
      </w:r>
      <w:r>
        <w:t xml:space="preserve"> </w:t>
      </w:r>
      <w:r>
        <w:rPr>
          <w:b/>
          <w:bCs/>
        </w:rPr>
        <w:t xml:space="preserve">clearance search</w:t>
      </w:r>
      <w:r>
        <w:t xml:space="preserve"> </w:t>
      </w:r>
      <w:r>
        <w:t xml:space="preserve">before filing (cheaper than a rejected application). Rough cost ~$250–330 per class per mark.</w:t>
      </w:r>
    </w:p>
    <w:p>
      <w:pPr>
        <w:pStyle w:val="BodyText"/>
      </w:pPr>
      <w:r>
        <w:rPr>
          <w:b/>
          <w:bCs/>
        </w:rPr>
        <w:t xml:space="preserve">2. Engine + Doctrine = trade secret, not patent.</w:t>
      </w:r>
      <w:r>
        <w:t xml:space="preserve"> </w:t>
      </w:r>
      <w:r>
        <w:t xml:space="preserve">This is the secret sauce and its protection is already built: the</w:t>
      </w:r>
      <w:r>
        <w:t xml:space="preserve"> </w:t>
      </w:r>
      <w:r>
        <w:rPr>
          <w:b/>
          <w:bCs/>
        </w:rPr>
        <w:t xml:space="preserve">Mutual NDA</w:t>
      </w:r>
      <w:r>
        <w:t xml:space="preserve"> </w:t>
      </w:r>
      <w:r>
        <w:t xml:space="preserve">(discovery stage) + the</w:t>
      </w:r>
      <w:r>
        <w:t xml:space="preserve"> </w:t>
      </w:r>
      <w:r>
        <w:rPr>
          <w:b/>
          <w:bCs/>
        </w:rPr>
        <w:t xml:space="preserve">IP Licence Deed</w:t>
      </w:r>
      <w:r>
        <w:t xml:space="preserve"> </w:t>
      </w:r>
      <w:r>
        <w:t xml:space="preserve">(perpetual confidentiality on trade secrets, no-reverse-engineer, no-training-corpus).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patent — it would publish the doctrine and is unlikely to be granted in AU anyway.</w:t>
      </w:r>
    </w:p>
    <w:p>
      <w:r>
        <w:pict>
          <v:rect style="width:0;height:1.5pt" o:hralign="center" o:hrstd="t" o:hr="t"/>
        </w:pict>
      </w:r>
    </w:p>
    <w:bookmarkEnd w:id="10"/>
    <w:bookmarkStart w:id="11" w:name="two-gaps-to-close-flag-for-the-lawyer"/>
    <w:p>
      <w:pPr>
        <w:pStyle w:val="Heading2"/>
      </w:pPr>
      <w:r>
        <w:t xml:space="preserve">Two gaps to close (flag for the lawyer)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Contractor IP assignment.</w:t>
      </w:r>
      <w:r>
        <w:t xml:space="preserve"> </w:t>
      </w:r>
      <w:r>
        <w:t xml:space="preserve">In Australia, a</w:t>
      </w:r>
      <w:r>
        <w:t xml:space="preserve"> </w:t>
      </w:r>
      <w:r>
        <w:rPr>
          <w:b/>
          <w:bCs/>
        </w:rPr>
        <w:t xml:space="preserve">contractor</w:t>
      </w:r>
      <w:r>
        <w:t xml:space="preserve"> </w:t>
      </w:r>
      <w:r>
        <w:t xml:space="preserve">(not employee) owns the copyright in what they create</w:t>
      </w:r>
      <w:r>
        <w:t xml:space="preserve"> </w:t>
      </w:r>
      <w:r>
        <w:rPr>
          <w:b/>
          <w:bCs/>
        </w:rPr>
        <w:t xml:space="preserve">by default — not the hirer</w:t>
      </w:r>
      <w:r>
        <w:t xml:space="preserve"> </w:t>
      </w:r>
      <w:r>
        <w:t xml:space="preserve">— unless there’s a signed written assignment. If anyone other than Kade has touched the code, prompts, brand assets, or content, get</w:t>
      </w:r>
      <w:r>
        <w:t xml:space="preserve"> </w:t>
      </w:r>
      <w:r>
        <w:rPr>
          <w:b/>
          <w:bCs/>
        </w:rPr>
        <w:t xml:space="preserve">signed IP assignments</w:t>
      </w:r>
      <w:r>
        <w:t xml:space="preserve"> </w:t>
      </w:r>
      <w:r>
        <w:t xml:space="preserve">from them. Without this, the warranty to partners that</w:t>
      </w:r>
      <w:r>
        <w:t xml:space="preserve"> </w:t>
      </w:r>
      <w:r>
        <w:t xml:space="preserve">“Body Recode owns the IP”</w:t>
      </w:r>
      <w:r>
        <w:t xml:space="preserve"> </w:t>
      </w:r>
      <w:r>
        <w:t xml:space="preserve">(Deed cl 8.1) has a hole. →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CONTRACTOR_IP_ASSIGNMENT_v0.1</w:t>
      </w:r>
      <w:r>
        <w:rPr>
          <w:b/>
          <w:bCs/>
        </w:rPr>
        <w:t xml:space="preserve"> </w:t>
      </w:r>
      <w:r>
        <w:rPr>
          <w:b/>
          <w:bCs/>
        </w:rPr>
        <w:t xml:space="preserve">deed is now in the pack to close this</w:t>
      </w:r>
      <w:r>
        <w:t xml:space="preserve"> </w:t>
      </w:r>
      <w:r>
        <w:t xml:space="preserve">— each contributor signs one (covers past + future work).</w:t>
      </w:r>
      <w:r>
        <w:t xml:space="preserve"> </w:t>
      </w:r>
      <w:r>
        <w:rPr>
          <w:i/>
          <w:iCs/>
        </w:rPr>
        <w:t xml:space="preserve">(Action: list who has touched the code/content and get each to sign.)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name.</w:t>
      </w:r>
      <w:r>
        <w:t xml:space="preserve"> </w:t>
      </w:r>
      <w:r>
        <w:t xml:space="preserve">Confirm</w:t>
      </w:r>
      <w:r>
        <w:t xml:space="preserve"> </w:t>
      </w:r>
      <w:r>
        <w:t xml:space="preserve">“Body Recode”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ASIC-registered business name</w:t>
      </w:r>
      <w:r>
        <w:t xml:space="preserve"> </w:t>
      </w:r>
      <w:r>
        <w:t xml:space="preserve">(required to trade under it as a sole trader). Separate from a trade mark; a related box, not IP protection.</w:t>
      </w:r>
    </w:p>
    <w:p>
      <w:r>
        <w:pict>
          <v:rect style="width:0;height:1.5pt" o:hralign="center" o:hrstd="t" o:hr="t"/>
        </w:pict>
      </w:r>
    </w:p>
    <w:bookmarkEnd w:id="11"/>
    <w:bookmarkStart w:id="12" w:name="questions-for-the-ip-lawyer"/>
    <w:p>
      <w:pPr>
        <w:pStyle w:val="Heading2"/>
      </w:pPr>
      <w:r>
        <w:t xml:space="preserve">Questions for the IP lawyer</w:t>
      </w:r>
    </w:p>
    <w:p>
      <w:pPr>
        <w:pStyle w:val="Compact"/>
        <w:numPr>
          <w:ilvl w:val="0"/>
          <w:numId w:val="1002"/>
        </w:numPr>
      </w:pPr>
      <w:r>
        <w:t xml:space="preserve">Confirm trade-mark</w:t>
      </w:r>
      <w:r>
        <w:t xml:space="preserve"> </w:t>
      </w:r>
      <w:r>
        <w:rPr>
          <w:b/>
          <w:bCs/>
        </w:rPr>
        <w:t xml:space="preserve">classes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spread of names</w:t>
      </w:r>
      <w:r>
        <w:t xml:space="preserve"> </w:t>
      </w:r>
      <w:r>
        <w:t xml:space="preserve">(wordmark, logo,</w:t>
      </w:r>
      <w:r>
        <w:t xml:space="preserve"> </w:t>
      </w:r>
      <w:r>
        <w:t xml:space="preserve">“Powered by Body Recode”</w:t>
      </w:r>
      <w:r>
        <w:t xml:space="preserve">, product terms).</w:t>
      </w:r>
    </w:p>
    <w:p>
      <w:pPr>
        <w:pStyle w:val="Compact"/>
        <w:numPr>
          <w:ilvl w:val="0"/>
          <w:numId w:val="1002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no-patent / trade-secret</w:t>
      </w:r>
      <w:r>
        <w:t xml:space="preserve"> </w:t>
      </w:r>
      <w:r>
        <w:t xml:space="preserve">strategy for the engine + Doctrine.</w:t>
      </w:r>
    </w:p>
    <w:p>
      <w:pPr>
        <w:pStyle w:val="Compact"/>
        <w:numPr>
          <w:ilvl w:val="0"/>
          <w:numId w:val="1002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contractor IP assignment</w:t>
      </w:r>
      <w:r>
        <w:t xml:space="preserve"> </w:t>
      </w:r>
      <w:r>
        <w:t xml:space="preserve">status — is there exposure, and what assignment wording closes it?</w:t>
      </w:r>
    </w:p>
    <w:p>
      <w:pPr>
        <w:pStyle w:val="Compact"/>
        <w:numPr>
          <w:ilvl w:val="0"/>
          <w:numId w:val="1002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copyright ownership chain</w:t>
      </w:r>
      <w:r>
        <w:t xml:space="preserve"> </w:t>
      </w:r>
      <w:r>
        <w:t xml:space="preserve">flows cleanly to Kade personally (then licensed down), given the personal-ownership / licence-to-company structure.</w:t>
      </w:r>
    </w:p>
    <w:p>
      <w:pPr>
        <w:pStyle w:val="Compact"/>
        <w:numPr>
          <w:ilvl w:val="0"/>
          <w:numId w:val="1002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registered design</w:t>
      </w:r>
      <w:r>
        <w:t xml:space="preserve"> </w:t>
      </w:r>
      <w:r>
        <w:t xml:space="preserve">worth pursuing for the product UI? (Assume no unless flagged.)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— IP PROTECTION MAP v0.1</w:t>
      </w:r>
    </w:p>
    <w:p>
      <w:pPr>
        <w:pStyle w:val="BodyText"/>
      </w:pPr>
      <w:r>
        <w:t xml:space="preserve">Related:</w:t>
      </w:r>
      <w:r>
        <w:t xml:space="preserve"> </w:t>
      </w:r>
      <w:r>
        <w:rPr>
          <w:rStyle w:val="VerbatimChar"/>
        </w:rPr>
        <w:t xml:space="preserve">COVER_NOTE_TO_LEGAL.md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DECISIONS_NEEDED.md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PARTNER_IP_SUBLICENCE_DEED_v0.1.md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MUTUAL_NDA_v0.1.md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2026-08-18T03:06:49Z</dcterms:created>
  <dcterms:modified xsi:type="dcterms:W3CDTF">2026-08-18T03:06:49Z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