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4bcb8dcc8057b3a4ab804c66dc27d393b90a6e"/>
    <w:p>
      <w:pPr>
        <w:pStyle w:val="Heading1"/>
      </w:pPr>
      <w:r>
        <w:t xml:space="preserve">the Collective Legal Package — Decisions &amp; Facts Needed</w:t>
      </w:r>
    </w:p>
    <w:p>
      <w:pPr>
        <w:pStyle w:val="FirstParagraph"/>
      </w:pPr>
      <w:r>
        <w:rPr>
          <w:b/>
          <w:bCs/>
        </w:rPr>
        <w:t xml:space="preserve">Fill these in before (or alongside) sending v0.1 to the commercial/IP lawyer. Every blank answered = a one-pass review instead of three.</w:t>
      </w:r>
      <w:r>
        <w:t xml:space="preserve"> </w:t>
      </w:r>
      <w:r>
        <w:t xml:space="preserve">Prepared 2026-07-07.</w:t>
      </w:r>
    </w:p>
    <w:p>
      <w:r>
        <w:pict>
          <v:rect style="width:0;height:1.5pt" o:hralign="center" o:hrstd="t" o:hr="t"/>
        </w:pict>
      </w:r>
    </w:p>
    <w:bookmarkStart w:id="10" w:name="X6a991348088e7f4a0d28a196477d93b48e45f3b"/>
    <w:p>
      <w:pPr>
        <w:pStyle w:val="Heading2"/>
      </w:pPr>
      <w:r>
        <w:t xml:space="preserve">1. Threshold — decide first (gates everything else)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140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 / Kade’s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Incorporate a Pty Ltd before signing partners?</w:t>
            </w:r>
            <w:r>
              <w:t xml:space="preserve"> </w:t>
            </w:r>
            <w:r>
              <w:t xml:space="preserve">Sole trader = unlimited personal liability under the indemnities, IP warranties, and health-data obligations in this package. Recommend discussing with lawyer</w:t>
            </w:r>
            <w:r>
              <w:t xml:space="preserve"> </w:t>
            </w:r>
            <w:r>
              <w:rPr>
                <w:b/>
                <w:bCs/>
              </w:rPr>
              <w:t xml:space="preserve">and accountant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Kade’s position (2026-07): START as sole trader now</w:t>
            </w:r>
            <w:r>
              <w:t xml:space="preserve"> </w:t>
            </w:r>
            <w:r>
              <w:t xml:space="preserve">— not yet trading at scale, not GST-registered — and</w:t>
            </w:r>
            <w:r>
              <w:t xml:space="preserve"> </w:t>
            </w:r>
            <w:r>
              <w:rPr>
                <w:b/>
                <w:bCs/>
              </w:rPr>
              <w:t xml:space="preserve">incorporate a Pty Ltd once revenue/partners ramp.</w:t>
            </w:r>
            <w:r>
              <w:t xml:space="preserve"> </w:t>
            </w:r>
            <w:r>
              <w:t xml:space="preserve">Still want Oliver’s express view on whether to incorporate</w:t>
            </w:r>
            <w:r>
              <w:t xml:space="preserve"> </w:t>
            </w:r>
            <w:r>
              <w:rPr>
                <w:b/>
                <w:bCs/>
              </w:rPr>
              <w:t xml:space="preserve">before the first partner signs</w:t>
            </w:r>
            <w:r>
              <w:t xml:space="preserve">, given the liability surface (health data +</w:t>
            </w:r>
            <w:r>
              <w:t xml:space="preserve"> </w:t>
            </w:r>
            <w:r>
              <w:t xml:space="preserve">“locked for life”</w:t>
            </w:r>
            <w:r>
              <w:t xml:space="preserve"> </w:t>
            </w:r>
            <w:r>
              <w:t xml:space="preserve">to 10 partners). Raise as Q0.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structure (locked preference).</w:t>
            </w:r>
            <w:r>
              <w:t xml:space="preserve"> </w:t>
            </w:r>
            <w:r>
              <w:t xml:space="preserve">Kade</w:t>
            </w:r>
            <w:r>
              <w:t xml:space="preserve"> </w:t>
            </w:r>
            <w:r>
              <w:rPr>
                <w:b/>
                <w:bCs/>
              </w:rPr>
              <w:t xml:space="preserve">retains IP ownership personally</w:t>
            </w:r>
            <w:r>
              <w:t xml:space="preserve">; the operating company takes a</w:t>
            </w:r>
            <w:r>
              <w:t xml:space="preserve"> </w:t>
            </w:r>
            <w:r>
              <w:rPr>
                <w:b/>
                <w:bCs/>
              </w:rPr>
              <w:t xml:space="preserve">head licence with the right to sublicense</w:t>
            </w:r>
            <w:r>
              <w:t xml:space="preserve">, and sublicenses to partners. IP is NOT assigned into the company. Head licence</w:t>
            </w:r>
            <w:r>
              <w:t xml:space="preserve"> </w:t>
            </w:r>
            <w:r>
              <w:rPr>
                <w:b/>
                <w:bCs/>
              </w:rPr>
              <w:t xml:space="preserve">drafted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HEAD_LICENCE_DEED_v0.1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Kade’s structure from prior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licence terms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HEAD_LICENCE_DEED_v0.1</w:t>
            </w:r>
            <w:r>
              <w:t xml:space="preserve">): (a)</w:t>
            </w:r>
            <w:r>
              <w:t xml:space="preserve"> </w:t>
            </w:r>
            <w:r>
              <w:rPr>
                <w:b/>
                <w:bCs/>
              </w:rPr>
              <w:t xml:space="preserve">exclusivity</w:t>
            </w:r>
            <w:r>
              <w:t xml:space="preserve"> </w:t>
            </w:r>
            <w:r>
              <w:t xml:space="preserve">— sole/exclusive field-limited to Body Recode vs non-exclusive; (b)</w:t>
            </w:r>
            <w:r>
              <w:t xml:space="preserve"> </w:t>
            </w:r>
            <w:r>
              <w:rPr>
                <w:b/>
                <w:bCs/>
              </w:rPr>
              <w:t xml:space="preserve">royalty/consideration</w:t>
            </w:r>
            <w:r>
              <w:t xml:space="preserve"> </w:t>
            </w:r>
            <w:r>
              <w:t xml:space="preserve">Company→Owner (LEGAL +</w:t>
            </w:r>
            <w:r>
              <w:t xml:space="preserve"> </w:t>
            </w:r>
            <w:r>
              <w:rPr>
                <w:b/>
                <w:bCs/>
              </w:rPr>
              <w:t xml:space="preserve">ACCOUNTANT</w:t>
            </w:r>
            <w:r>
              <w:t xml:space="preserve">: arm’s-length, Div 7A); (c)</w:t>
            </w:r>
            <w:r>
              <w:t xml:space="preserve"> </w:t>
            </w:r>
            <w:r>
              <w:rPr>
                <w:b/>
                <w:bCs/>
              </w:rPr>
              <w:t xml:space="preserve">improvements</w:t>
            </w:r>
            <w:r>
              <w:t xml:space="preserve"> </w:t>
            </w:r>
            <w:r>
              <w:t xml:space="preserve">consolidated back to Owner.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[__]</w:t>
            </w:r>
            <w:r>
              <w:t xml:space="preserve"> </w:t>
            </w:r>
            <w:r>
              <w:t xml:space="preserve">— recommend (a) sole/field-limited; confirm (b) with accountant; (c) yes</w:t>
            </w:r>
          </w:p>
        </w:tc>
      </w:tr>
    </w:tbl>
    <w:bookmarkStart w:id="9" w:name="X2fa16dc6f1488f97cbccfd70dea7d773287338f"/>
    <w:p>
      <w:pPr>
        <w:pStyle w:val="Heading3"/>
      </w:pPr>
      <w:r>
        <w:t xml:space="preserve">Incorporation — cost + steps (for the accountant conversation)</w:t>
      </w:r>
    </w:p>
    <w:p>
      <w:pPr>
        <w:pStyle w:val="FirstParagraph"/>
      </w:pPr>
      <w:r>
        <w:rPr>
          <w:b/>
          <w:bCs/>
        </w:rPr>
        <w:t xml:space="preserve">The company is cheap; the structuring advice is the real spend.</w:t>
      </w:r>
      <w:r>
        <w:t xml:space="preserve"> </w:t>
      </w:r>
      <w:r>
        <w:t xml:space="preserve">(AU, approximate — ASIC’s fee is indexed every 1 July; confirm current figures.)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ASIC registration fee (government)</w:t>
            </w:r>
          </w:p>
        </w:tc>
        <w:tc>
          <w:tcPr/>
          <w:p>
            <w:pPr>
              <w:pStyle w:val="Compact"/>
            </w:pPr>
            <w:r>
              <w:t xml:space="preserve">~$600 one-off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All-in via online service (EasyCompanies / Cleardocs / Lawpath) — ASIC fee + constitution + registers + ABN/TFN/GST</w:t>
            </w:r>
          </w:p>
        </w:tc>
        <w:tc>
          <w:tcPr/>
          <w:p>
            <w:pPr>
              <w:pStyle w:val="Compact"/>
            </w:pPr>
            <w:r>
              <w:t xml:space="preserve">~$600–1,000 one-off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 accountant (adds setup + advice)</w:t>
            </w:r>
          </w:p>
        </w:tc>
        <w:tc>
          <w:tcPr/>
          <w:p>
            <w:pPr>
              <w:pStyle w:val="Compact"/>
            </w:pPr>
            <w:r>
              <w:t xml:space="preserve">~$800–1,500 one-off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Ongoing: ASIC annual review fee</w:t>
            </w:r>
          </w:p>
        </w:tc>
        <w:tc>
          <w:tcPr/>
          <w:p>
            <w:pPr>
              <w:pStyle w:val="Compact"/>
            </w:pPr>
            <w:r>
              <w:t xml:space="preserve">~$320/year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Ongoing: company tax return</w:t>
            </w:r>
          </w:p>
        </w:tc>
        <w:tc>
          <w:tcPr/>
          <w:p>
            <w:pPr>
              <w:pStyle w:val="Compact"/>
            </w:pPr>
            <w:r>
              <w:t xml:space="preserve">~$1,000–3,000/year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Structuring advice</w:t>
            </w:r>
            <w:r>
              <w:t xml:space="preserve"> </w:t>
            </w:r>
            <w:r>
              <w:t xml:space="preserve">(accountant + lawyer): IP-holding chain, head-licence royalty flow, Div 7A —</w:t>
            </w:r>
            <w:r>
              <w:t xml:space="preserve"> </w:t>
            </w:r>
            <w:r>
              <w:rPr>
                <w:b/>
                <w:bCs/>
              </w:rPr>
              <w:t xml:space="preserve">the spend that matters</w:t>
            </w:r>
          </w:p>
        </w:tc>
        <w:tc>
          <w:tcPr/>
          <w:p>
            <w:pPr>
              <w:pStyle w:val="Compact"/>
            </w:pPr>
            <w:r>
              <w:t xml:space="preserve">~$1,000–3,000 one-off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 if you proceed:</w:t>
      </w:r>
      <w:r>
        <w:t xml:space="preserve"> </w:t>
      </w:r>
      <w:r>
        <w:t xml:space="preserve">(1) accountant/lawyer confirm the structure (IP stays with Kade → head licence → company); (2) register the Pty Ltd (name, director(s), shares, registered office); (3) ABN/TFN/GST; (4) execute the</w:t>
      </w:r>
      <w:r>
        <w:t xml:space="preserve"> </w:t>
      </w:r>
      <w:r>
        <w:rPr>
          <w:b/>
          <w:bCs/>
        </w:rPr>
        <w:t xml:space="preserve">Head Licence</w:t>
      </w:r>
      <w:r>
        <w:t xml:space="preserve"> </w:t>
      </w:r>
      <w:r>
        <w:t xml:space="preserve">(Kade → Co); (5) swap the party + execution blocks in this pack from sole trader → Pty Ltd.</w:t>
      </w:r>
    </w:p>
    <w:bookmarkEnd w:id="9"/>
    <w:bookmarkEnd w:id="10"/>
    <w:bookmarkStart w:id="12" w:name="X5989f068942accb09008a22b396240d9ef0220d"/>
    <w:p>
      <w:pPr>
        <w:pStyle w:val="Heading2"/>
      </w:pPr>
      <w:r>
        <w:t xml:space="preserve">2. Facts to supply (the lawyer can’t invent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Kade’s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Operating entity name +</w:t>
            </w:r>
            <w:r>
              <w:t xml:space="preserve"> </w:t>
            </w:r>
            <w:r>
              <w:rPr>
                <w:b/>
                <w:bCs/>
              </w:rPr>
              <w:t xml:space="preserve">ABN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Kade Robert Dunstone</w:t>
            </w:r>
            <w:r>
              <w:t xml:space="preserve">, sole trader t/a Body Recode,</w:t>
            </w:r>
            <w:r>
              <w:t xml:space="preserve"> </w:t>
            </w:r>
            <w:r>
              <w:rPr>
                <w:b/>
                <w:bCs/>
              </w:rPr>
              <w:t xml:space="preserve">ABN 90 535 525 708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Registered business 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Brisbane — address TBC</w:t>
            </w:r>
            <w:r>
              <w:t xml:space="preserve"> </w:t>
            </w:r>
            <w:r>
              <w:t xml:space="preserve">(Kade moving the registered address to Brisbane; docs carry a Brisbane placeholder until confirmed)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Trade mark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 yet.</w:t>
            </w:r>
            <w:r>
              <w:t xml:space="preserve"> </w:t>
            </w:r>
            <w:r>
              <w:t xml:space="preserve">Marks + classes to file are listed below and in</w:t>
            </w:r>
            <w:r>
              <w:t xml:space="preserve"> </w:t>
            </w:r>
            <w:r>
              <w:rPr>
                <w:rStyle w:val="VerbatimChar"/>
              </w:rPr>
              <w:t xml:space="preserve">IP_PROTECTION_MAP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Typical partner entity type (for execution blocks)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  <w:r>
              <w:t xml:space="preserve"> </w:t>
            </w:r>
            <w:r>
              <w:rPr>
                <w:b/>
                <w:bCs/>
              </w:rPr>
              <w:t xml:space="preserve">sole traders / trusts</w:t>
            </w:r>
            <w:r>
              <w:t xml:space="preserve">, some Pty Ltd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GST registered?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not GST-registered</w:t>
            </w:r>
            <w:r>
              <w:t xml:space="preserve"> </w:t>
            </w:r>
            <w:r>
              <w:t xml:space="preserve">(under the $75k turnover threshold). Will register when required or on incorporation. No GST is charged now; Agreement cl 6.5 already future-proofs this (GST added only</w:t>
            </w:r>
            <w:r>
              <w:t xml:space="preserve"> </w:t>
            </w:r>
            <w:r>
              <w:t xml:space="preserve">“at the prevailing rate”</w:t>
            </w:r>
            <w:r>
              <w:t xml:space="preserve"> </w:t>
            </w:r>
            <w:r>
              <w:t xml:space="preserve">once registered).</w:t>
            </w:r>
          </w:p>
        </w:tc>
      </w:tr>
    </w:tbl>
    <w:bookmarkStart w:id="11" w:name="X6c78a42d67505a9d015cf5ebded7b14c64bfb95"/>
    <w:p>
      <w:pPr>
        <w:pStyle w:val="Heading3"/>
      </w:pPr>
      <w:r>
        <w:t xml:space="preserve">2.3 — Trade marks to file (the list you asked for)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“Body Recode”</w:t>
            </w:r>
          </w:p>
        </w:tc>
        <w:tc>
          <w:tcPr/>
          <w:p>
            <w:pPr>
              <w:pStyle w:val="Compact"/>
            </w:pPr>
            <w:r>
              <w:t xml:space="preserve">word mark (protects the name in any font)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 — do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Recode / BR logo</w:t>
            </w:r>
          </w:p>
        </w:tc>
        <w:tc>
          <w:tcPr/>
          <w:p>
            <w:pPr>
              <w:pStyle w:val="Compact"/>
            </w:pPr>
            <w:r>
              <w:t xml:space="preserve">device (logo) mark</w:t>
            </w:r>
          </w:p>
        </w:tc>
        <w:tc>
          <w:tcPr/>
          <w:p>
            <w:pPr>
              <w:pStyle w:val="Compact"/>
            </w:pPr>
            <w:r>
              <w:t xml:space="preserve">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“Powered by Body Recode”</w:t>
            </w:r>
          </w:p>
        </w:tc>
        <w:tc>
          <w:tcPr/>
          <w:p>
            <w:pPr>
              <w:pStyle w:val="Compact"/>
            </w:pPr>
            <w:r>
              <w:t xml:space="preserve">lockup — usually covered by the word mark; file separately only if you want the exact lockup protected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“Fat Map”</w:t>
            </w:r>
            <w:r>
              <w:t xml:space="preserve"> </w:t>
            </w:r>
            <w:r>
              <w:t xml:space="preserve">(+ any signature doctrine terms used publicly)</w:t>
            </w:r>
          </w:p>
        </w:tc>
        <w:tc>
          <w:tcPr/>
          <w:p>
            <w:pPr>
              <w:pStyle w:val="Compact"/>
            </w:pPr>
            <w:r>
              <w:t xml:space="preserve">word mark(s)</w:t>
            </w:r>
          </w:p>
        </w:tc>
        <w:tc>
          <w:tcPr/>
          <w:p>
            <w:pPr>
              <w:pStyle w:val="Compact"/>
            </w:pPr>
            <w:r>
              <w:t xml:space="preserve">your call — flag which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Classes (Nice classification):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(downloadable software/apps),</w:t>
      </w:r>
      <w:r>
        <w:t xml:space="preserve"> </w:t>
      </w:r>
      <w:r>
        <w:rPr>
          <w:b/>
          <w:bCs/>
        </w:rPr>
        <w:t xml:space="preserve">42</w:t>
      </w:r>
      <w:r>
        <w:t xml:space="preserve"> </w:t>
      </w:r>
      <w:r>
        <w:t xml:space="preserve">(SaaS / online software — core),</w:t>
      </w:r>
      <w:r>
        <w:t xml:space="preserve"> </w:t>
      </w:r>
      <w:r>
        <w:rPr>
          <w:b/>
          <w:bCs/>
        </w:rPr>
        <w:t xml:space="preserve">41</w:t>
      </w:r>
      <w:r>
        <w:t xml:space="preserve"> </w:t>
      </w:r>
      <w:r>
        <w:t xml:space="preserve">(coaching, education, training, fitness — core), and consider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(health / nutrition / wellness advisory). File via</w:t>
      </w:r>
      <w:r>
        <w:t xml:space="preserve"> </w:t>
      </w:r>
      <w:r>
        <w:rPr>
          <w:b/>
          <w:bCs/>
        </w:rPr>
        <w:t xml:space="preserve">IP Australia</w:t>
      </w:r>
      <w:r>
        <w:t xml:space="preserve">, or (better) let the</w:t>
      </w:r>
      <w:r>
        <w:t xml:space="preserve"> </w:t>
      </w:r>
      <w:r>
        <w:rPr>
          <w:b/>
          <w:bCs/>
        </w:rPr>
        <w:t xml:space="preserve">IP lawyer run a clearance search first</w:t>
      </w:r>
      <w:r>
        <w:t xml:space="preserve"> </w:t>
      </w:r>
      <w:r>
        <w:t xml:space="preserve">then file — cheaper than a rejected application. Rough cost: ~$250–330 per class per mark.</w:t>
      </w:r>
      <w:r>
        <w:t xml:space="preserve"> </w:t>
      </w:r>
      <w:r>
        <w:rPr>
          <w:i/>
          <w:iCs/>
        </w:rPr>
        <w:t xml:space="preserve">Separate brands (Body Recode Collective / Arete Protocol) are separate filings — not part of this pack.</w:t>
      </w:r>
    </w:p>
    <w:bookmarkEnd w:id="11"/>
    <w:bookmarkEnd w:id="12"/>
    <w:bookmarkStart w:id="13" w:name="Xf9d95169d8f23e244fad3cac9690405946913e3"/>
    <w:p>
      <w:pPr>
        <w:pStyle w:val="Heading2"/>
      </w:pPr>
      <w:r>
        <w:t xml:space="preserve">3. Commercial decisions (the lawyer needs your call)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1298"/>
        <w:gridCol w:w="908"/>
        <w:gridCol w:w="3375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Options / recommendation</w:t>
            </w:r>
          </w:p>
        </w:tc>
        <w:tc>
          <w:tcPr/>
          <w:p>
            <w:pPr>
              <w:pStyle w:val="Compact"/>
            </w:pPr>
            <w:r>
              <w:t xml:space="preserve">Kade’s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“Active Client”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— what triggers the $20 fee</w:t>
            </w:r>
          </w:p>
        </w:tc>
        <w:tc>
          <w:tcPr/>
          <w:p>
            <w:pPr>
              <w:pStyle w:val="Compact"/>
            </w:pPr>
            <w:r>
              <w:t xml:space="preserve">Agmt cl 1</w:t>
            </w:r>
          </w:p>
        </w:tc>
        <w:tc>
          <w:tcPr/>
          <w:p>
            <w:pPr>
              <w:pStyle w:val="Compact"/>
            </w:pPr>
            <w:r>
              <w:t xml:space="preserve">Bill per</w:t>
            </w:r>
            <w:r>
              <w:t xml:space="preserve"> </w:t>
            </w:r>
            <w:r>
              <w:rPr>
                <w:b/>
                <w:bCs/>
              </w:rPr>
              <w:t xml:space="preserve">paying</w:t>
            </w:r>
            <w:r>
              <w:t xml:space="preserve"> </w:t>
            </w:r>
            <w:r>
              <w:t xml:space="preserve">active client vs any active record.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Paying clients only</w:t>
            </w:r>
            <w:r>
              <w:t xml:space="preserve"> </w:t>
            </w:r>
            <w:r>
              <w:t xml:space="preserve">(Agmt cl 1 updated — free trials/intakes 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Sub-User included seats</w:t>
            </w:r>
            <w:r>
              <w:t xml:space="preserve"> </w:t>
            </w:r>
            <w:r>
              <w:t xml:space="preserve">+ add-on price</w:t>
            </w:r>
          </w:p>
        </w:tc>
        <w:tc>
          <w:tcPr/>
          <w:p>
            <w:pPr>
              <w:pStyle w:val="Compact"/>
            </w:pPr>
            <w:r>
              <w:t xml:space="preserve">Agmt 8.1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3 included</w:t>
            </w:r>
            <w:r>
              <w:t xml:space="preserve"> </w:t>
            </w:r>
            <w:r>
              <w:t xml:space="preserve">(partner + 2), more by arrangement (Agmt 8.1).</w:t>
            </w:r>
            <w:r>
              <w:t xml:space="preserve"> </w:t>
            </w:r>
            <w:r>
              <w:rPr>
                <w:i/>
                <w:iCs/>
              </w:rPr>
              <w:t xml:space="preserve">Add-on price TBD — suggest nominal, e.g. $15–20/seat/mo, or waive; sub-users aren’t the revenue lever.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 minimums</w:t>
            </w:r>
            <w:r>
              <w:t xml:space="preserve"> </w:t>
            </w:r>
            <w:r>
              <w:t xml:space="preserve">partner must hold</w:t>
            </w:r>
          </w:p>
        </w:tc>
        <w:tc>
          <w:tcPr/>
          <w:p>
            <w:pPr>
              <w:pStyle w:val="Compact"/>
            </w:pPr>
            <w:r>
              <w:t xml:space="preserve">Agmt 7.1(g)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PI $5m / PL $10m</w:t>
            </w:r>
            <w:r>
              <w:t xml:space="preserve"> </w:t>
            </w:r>
            <w:r>
              <w:t xml:space="preserve">(Agmt 7.1(g) updated)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  <w:r>
              <w:t xml:space="preserve"> </w:t>
            </w:r>
            <w:r>
              <w:t xml:space="preserve">— uptime commitment</w:t>
            </w:r>
          </w:p>
        </w:tc>
        <w:tc>
          <w:tcPr/>
          <w:p>
            <w:pPr>
              <w:pStyle w:val="Compact"/>
            </w:pPr>
            <w:r>
              <w:t xml:space="preserve">Agmt 5.2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Yes — 99.5%/month + pro-rata credit</w:t>
            </w:r>
            <w:r>
              <w:t xml:space="preserve"> </w:t>
            </w:r>
            <w:r>
              <w:t xml:space="preserve">(Agmt 5.2 updated)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Late-payment step</w:t>
            </w:r>
            <w:r>
              <w:t xml:space="preserve"> </w:t>
            </w:r>
            <w:r>
              <w:t xml:space="preserve">before full suspension</w:t>
            </w:r>
          </w:p>
        </w:tc>
        <w:tc>
          <w:tcPr/>
          <w:p>
            <w:pPr>
              <w:pStyle w:val="Compact"/>
            </w:pPr>
            <w:r>
              <w:t xml:space="preserve">Agmt 6.6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Gentler step added</w:t>
            </w:r>
            <w:r>
              <w:t xml:space="preserve"> </w:t>
            </w:r>
            <w:r>
              <w:t xml:space="preserve">— block new-client creation at 14 days, full suspension at 30, with notice (Agmt 6.6)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fee refundability</w:t>
            </w:r>
            <w:r>
              <w:t xml:space="preserve"> </w:t>
            </w:r>
            <w:r>
              <w:t xml:space="preserve">carve-out on BR-caused termination</w:t>
            </w:r>
          </w:p>
        </w:tc>
        <w:tc>
          <w:tcPr/>
          <w:p>
            <w:pPr>
              <w:pStyle w:val="Compact"/>
            </w:pPr>
            <w:r>
              <w:t xml:space="preserve">Agmt 6.2 vs 14.4(e)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Keep the carve-out</w:t>
            </w:r>
            <w:r>
              <w:t xml:space="preserve"> </w:t>
            </w:r>
            <w:r>
              <w:t xml:space="preserve">— it only triggers if BR is at fault (partner terminates for BR’s cause in the Initial Term); fair goodwill, low risk to you. No change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“Powered by Body Recode”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attribution</w:t>
            </w:r>
            <w:r>
              <w:t xml:space="preserve"> </w:t>
            </w:r>
            <w:r>
              <w:t xml:space="preserve">— mandatory or optional</w:t>
            </w:r>
          </w:p>
        </w:tc>
        <w:tc>
          <w:tcPr/>
          <w:p>
            <w:pPr>
              <w:pStyle w:val="Compact"/>
            </w:pPr>
            <w:r>
              <w:t xml:space="preserve">Deed cl 5.2/5.3, Sch 2B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DECIDED: mandatory but subtle</w:t>
            </w:r>
            <w:r>
              <w:t xml:space="preserve"> </w:t>
            </w:r>
            <w:r>
              <w:t xml:space="preserve">— required in footer of client-facing pages + emails, never above the fold. Drives the B2B engine flywheel. Deed updated.</w:t>
            </w:r>
          </w:p>
        </w:tc>
        <w:tc>
          <w:tcPr/>
          <w:p>
            <w:pPr>
              <w:pStyle w:val="Compact"/>
            </w:pPr>
            <w:r>
              <w:t xml:space="preserve">Kade 2026-07-07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Collective = early partners, NOT a cap on the business</w:t>
            </w:r>
          </w:p>
        </w:tc>
        <w:tc>
          <w:tcPr/>
          <w:p>
            <w:pPr>
              <w:pStyle w:val="Compact"/>
            </w:pPr>
            <w:r>
              <w:t xml:space="preserve">Cover note + Agmt Recital B / cl 3.4 + Deed Recital B + Head Licence defs</w:t>
            </w:r>
          </w:p>
        </w:tc>
        <w:tc>
          <w:tcPr/>
          <w:p>
            <w:pPr>
              <w:pStyle w:val="Compact"/>
            </w:pPr>
            <w:r>
              <w:t xml:space="preserve">The ten is a</w:t>
            </w:r>
            <w:r>
              <w:t xml:space="preserve"> </w:t>
            </w:r>
            <w:r>
              <w:rPr>
                <w:b/>
                <w:bCs/>
              </w:rPr>
              <w:t xml:space="preserve">first, proof-of-concept cohort</w:t>
            </w:r>
            <w:r>
              <w:t xml:space="preserve"> </w:t>
            </w:r>
            <w:r>
              <w:t xml:space="preserve">— locked-for-life founding pricing genuinely limited to 10 — used to gather real-world data and develop the software for the next stage. The</w:t>
            </w:r>
            <w:r>
              <w:t xml:space="preserve"> </w:t>
            </w:r>
            <w:r>
              <w:rPr>
                <w:b/>
                <w:bCs/>
              </w:rPr>
              <w:t xml:space="preserve">Platform is not capped</w:t>
            </w:r>
            <w:r>
              <w:t xml:space="preserve">: BR opens it to further partners at standard rates afterward. Drafting must NOT grant any partner permanent, territorial, or numeric exclusivity.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Confirmed (Kade 2026-07)</w:t>
            </w:r>
            <w:r>
              <w:t xml:space="preserve"> </w:t>
            </w:r>
            <w:r>
              <w:t xml:space="preserve">— reframed in cover note + all recitals; Oliver to pressure-test the exclusivity wording so scaling stays open while founding pricing survives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fee payment split</w:t>
            </w:r>
            <w:r>
              <w:t xml:space="preserve"> </w:t>
            </w:r>
            <w:r>
              <w:t xml:space="preserve">— when the setup fee is due</w:t>
            </w:r>
          </w:p>
        </w:tc>
        <w:tc>
          <w:tcPr/>
          <w:p>
            <w:pPr>
              <w:pStyle w:val="Compact"/>
            </w:pPr>
            <w:r>
              <w:t xml:space="preserve">Agmt cl 6.2 + Sch 1 Item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DECIDED: 50% on signing (Commencement Date) + 50% on Setup Completion (Instance go-live/handover), unless otherwise agreed in writing.</w:t>
            </w:r>
            <w:r>
              <w:t xml:space="preserve"> </w:t>
            </w:r>
            <w:r>
              <w:t xml:space="preserve">Changed from full amount upfront.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Confirmed (Kade 2026-07)</w:t>
            </w:r>
            <w:r>
              <w:t xml:space="preserve"> </w:t>
            </w:r>
            <w:r>
              <w:t xml:space="preserve">— cl 6.2 rewritten;</w:t>
            </w:r>
            <w:r>
              <w:t xml:space="preserve"> </w:t>
            </w:r>
            <w:r>
              <w:t xml:space="preserve">“Setup Completion”</w:t>
            </w:r>
            <w:r>
              <w:t xml:space="preserve"> </w:t>
            </w:r>
            <w:r>
              <w:t xml:space="preserve">defined as go-live/handover. Oliver to confirm the milestone wording is objective enough to trigger the second invoice cleanly</w:t>
            </w:r>
          </w:p>
        </w:tc>
      </w:tr>
    </w:tbl>
    <w:bookmarkEnd w:id="13"/>
    <w:bookmarkStart w:id="14" w:name="X9fe9d5348c967a614ff07b7ed3372c100984ce0"/>
    <w:p>
      <w:pPr>
        <w:pStyle w:val="Heading2"/>
      </w:pPr>
      <w:r>
        <w:t xml:space="preserve">4. Substantive flags for the lawyer (they’ll opine — listed so nothing’s missed)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/ sensitive data.</w:t>
      </w:r>
      <w:r>
        <w:t xml:space="preserve"> </w:t>
      </w:r>
      <w:r>
        <w:t xml:space="preserve">Client Data includes medications, injuries, blood panels =</w:t>
      </w:r>
      <w:r>
        <w:t xml:space="preserve"> </w:t>
      </w:r>
      <w:r>
        <w:rPr>
          <w:b/>
          <w:bCs/>
        </w:rPr>
        <w:t xml:space="preserve">“sensitive information”</w:t>
      </w:r>
      <w:r>
        <w:t xml:space="preserve"> </w:t>
      </w:r>
      <w:r>
        <w:t xml:space="preserve">under the Privacy Act — higher consent bar than general APP. Biggest liability surface. (Cover note item 4.)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ACL $100k threshold.</w:t>
      </w:r>
      <w:r>
        <w:t xml:space="preserve"> </w:t>
      </w:r>
      <w:r>
        <w:t xml:space="preserve">Consumer guarantees likely apply despite business context — don’t assume they don’t. (Cover note item 5, now reframed.)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 trade-secret protection.</w:t>
      </w:r>
      <w:r>
        <w:t xml:space="preserve"> </w:t>
      </w:r>
      <w:r>
        <w:t xml:space="preserve">No-reverse-engineer-from-output + no-training-corpus clauses (Deed 3.4, 4.1, 10.2) — confirm enforceable. The whole ballgame.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“Locked for life”</w:t>
      </w:r>
      <w:r>
        <w:rPr>
          <w:b/>
          <w:bCs/>
        </w:rPr>
        <w:t xml:space="preserve"> </w:t>
      </w:r>
      <w:r>
        <w:rPr>
          <w:b/>
          <w:bCs/>
        </w:rPr>
        <w:t xml:space="preserve">through a sale</w:t>
      </w:r>
      <w:r>
        <w:t xml:space="preserve"> </w:t>
      </w:r>
      <w:r>
        <w:t xml:space="preserve">(Agmt 3.2 + 17.4) — confirm it binds an acquirer.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Deed vs simple contract</w:t>
      </w:r>
      <w:r>
        <w:t xml:space="preserve"> </w:t>
      </w:r>
      <w:r>
        <w:t xml:space="preserve">execution (Cover note item 10) — recommend deed (12-yr limitation).</w:t>
      </w:r>
    </w:p>
    <w:bookmarkEnd w:id="14"/>
    <w:bookmarkStart w:id="15" w:name="Xcddc6e76dba6bc9257fccdc40daa3468eb697db"/>
    <w:p>
      <w:pPr>
        <w:pStyle w:val="Heading2"/>
      </w:pPr>
      <w:r>
        <w:t xml:space="preserve">5. Drafting fixes already applied to v0.1 (FYI)</w:t>
      </w:r>
    </w:p>
    <w:p>
      <w:pPr>
        <w:pStyle w:val="Compact"/>
        <w:numPr>
          <w:ilvl w:val="0"/>
          <w:numId w:val="1002"/>
        </w:numPr>
      </w:pPr>
      <w:r>
        <w:t xml:space="preserve">Removed duplicate clause 9.4/9.5 in the Agreement (merged into one 9.4).</w:t>
      </w:r>
    </w:p>
    <w:p>
      <w:pPr>
        <w:pStyle w:val="Compact"/>
        <w:numPr>
          <w:ilvl w:val="0"/>
          <w:numId w:val="1002"/>
        </w:numPr>
      </w:pPr>
      <w:r>
        <w:t xml:space="preserve">Reframed the ACL note in the cover note (was a wrong assumption).</w:t>
      </w:r>
    </w:p>
    <w:p>
      <w:pPr>
        <w:pStyle w:val="Compact"/>
        <w:numPr>
          <w:ilvl w:val="0"/>
          <w:numId w:val="1002"/>
        </w:numPr>
      </w:pPr>
      <w:r>
        <w:t xml:space="preserve">Added ENTITY NOTES to both party blocks flagging sole-trader reality + IP-assignment need.</w:t>
      </w:r>
    </w:p>
    <w:p>
      <w:pPr>
        <w:pStyle w:val="Compact"/>
        <w:numPr>
          <w:ilvl w:val="0"/>
          <w:numId w:val="1002"/>
        </w:numPr>
      </w:pPr>
      <w:r>
        <w:t xml:space="preserve">Added the entity + TM-pending threshold question to the cover note.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Once 1–3 are answered, this package is ready for the commercial/IP solicitor.</w:t>
      </w:r>
      <w:r>
        <w:t xml:space="preserve"> </w:t>
      </w:r>
      <w:r>
        <w:t xml:space="preserve">Return target: redlined v0.2 → Kade review → v1.0.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2026-08-17T23:07:28Z</dcterms:created>
  <dcterms:modified xsi:type="dcterms:W3CDTF">2026-08-17T23:07:28Z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