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scorecard -&gt; Challenge -&gt; Blueprint -&gt; coaching/membership funnel. Not the licensing engine (see the Collective strategy) or the internal coaching delivery (Performance Coaching).</w:t>
      </w:r>
    </w:p>
    <w:p>
      <w:r>
        <w:pict>
          <v:rect style="width:0;height:1.5pt" o:hralign="center" o:hrstd="t" o:hr="t"/>
        </w:pict>
      </w:r>
    </w:p>
    <w:bookmarkEnd w:id="9"/>
    <w:bookmarkStart w:id="15"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t xml:space="preserve">High-functioning adults whose bodies have stopped responding to effort - training hard, eating well, consistent, and getting nothing back. Four archetypes, skewed toward the</w:t>
      </w:r>
      <w:r>
        <w:t xml:space="preserve"> </w:t>
      </w:r>
      <w:r>
        <w:rPr>
          <w:b/>
          <w:bCs/>
        </w:rPr>
        <w:t xml:space="preserve">Depleted</w:t>
      </w:r>
      <w:r>
        <w:t xml:space="preserve"> </w:t>
      </w:r>
      <w:r>
        <w:t xml:space="preserve">end (bodies in protection/remediation, not the lean-and-optimising end).</w:t>
      </w:r>
    </w:p>
    <w:p>
      <w:pPr>
        <w:pStyle w:val="BodyText"/>
      </w:pPr>
      <w:r>
        <w:t xml:space="preserve">Lead with the feeling, not the vocabulary:</w:t>
      </w:r>
      <w:r>
        <w:t xml:space="preserve"> </w:t>
      </w:r>
      <w:r>
        <w:rPr>
          <w:i/>
          <w:iCs/>
        </w:rPr>
        <w:t xml:space="preserve">“You’re training. You’re eating well. You’re consistent. And nothing is moving.”</w:t>
      </w:r>
      <w:r>
        <w:t xml:space="preserve"> </w:t>
      </w:r>
      <w:r>
        <w:t xml:space="preserve">Name what they feel first, then reveal the read underneath it.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1"/>
        </w:numPr>
      </w:pPr>
      <w:r>
        <w:rPr>
          <w:b/>
          <w:bCs/>
        </w:rPr>
        <w:t xml:space="preserve">Depleted / Remediation</w:t>
      </w:r>
      <w:r>
        <w:t xml:space="preserve"> </w:t>
      </w:r>
      <w:r>
        <w:t xml:space="preserve">- protection mode; more training + less food makes it worse.</w:t>
      </w:r>
    </w:p>
    <w:p>
      <w:pPr>
        <w:pStyle w:val="Compact"/>
        <w:numPr>
          <w:ilvl w:val="0"/>
          <w:numId w:val="1001"/>
        </w:numPr>
      </w:pPr>
      <w:r>
        <w:rPr>
          <w:b/>
          <w:bCs/>
        </w:rPr>
        <w:t xml:space="preserve">Transitioning / Optimisation</w:t>
      </w:r>
      <w:r>
        <w:t xml:space="preserve"> </w:t>
      </w:r>
      <w:r>
        <w:t xml:space="preserve">- responding, needs directed load.</w:t>
      </w:r>
    </w:p>
    <w:p>
      <w:pPr>
        <w:pStyle w:val="Compact"/>
        <w:numPr>
          <w:ilvl w:val="0"/>
          <w:numId w:val="1001"/>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the-funnel-scorecard-first"/>
    <w:p>
      <w:pPr>
        <w:pStyle w:val="Heading2"/>
      </w:pPr>
      <w:r>
        <w:t xml:space="preserve">4. The funnel (scorecard-first)</w:t>
      </w:r>
    </w:p>
    <w:p>
      <w:pPr>
        <w:pStyle w:val="FirstParagraph"/>
      </w:pPr>
      <w:r>
        <w:t xml:space="preserve">Everything routes to the</w:t>
      </w:r>
      <w:r>
        <w:t xml:space="preserve"> </w:t>
      </w:r>
      <w:r>
        <w:rPr>
          <w:b/>
          <w:bCs/>
        </w:rPr>
        <w:t xml:space="preserve">Body State Scorecard</w:t>
      </w:r>
      <w:r>
        <w:t xml:space="preserve"> </w:t>
      </w:r>
      <w:r>
        <w:t xml:space="preserve">first - the free, no-email-until-result diagnostic that turns a stranger into a named, segmented lead. The ladder from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Body State Scorecard</w:t>
            </w:r>
          </w:p>
        </w:tc>
        <w:tc>
          <w:tcPr/>
          <w:p>
            <w:pPr>
              <w:pStyle w:val="Compact"/>
            </w:pPr>
            <w:r>
              <w:t xml:space="preserve">Free 2-minute diagnostic. Names your state + pattern. The universal front door.</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14-day challenge (Funnel B). Day-0 intake, in-portal experience, Day-14 reveal.</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next step after the Challenge - your personalised plan off the read.</w:t>
            </w:r>
          </w:p>
        </w:tc>
        <w:tc>
          <w:tcPr/>
          <w:p>
            <w:pPr>
              <w:pStyle w:val="Compact"/>
            </w:pPr>
            <w:r>
              <w:t xml:space="preserve">$97</w:t>
            </w:r>
          </w:p>
        </w:tc>
      </w:tr>
      <w:tr>
        <w:tc>
          <w:tcPr/>
          <w:p>
            <w:pPr>
              <w:pStyle w:val="Compact"/>
            </w:pPr>
            <w:r>
              <w:rPr>
                <w:b/>
                <w:bCs/>
              </w:rPr>
              <w:t xml:space="preserve">Coaching / Membership</w:t>
            </w:r>
          </w:p>
        </w:tc>
        <w:tc>
          <w:tcPr/>
          <w:p>
            <w:pPr>
              <w:pStyle w:val="Compact"/>
            </w:pPr>
            <w:r>
              <w:t xml:space="preserve">Ongoing Performance Coaching + membership - the delivery arm the funnel feeds.</w:t>
            </w:r>
          </w:p>
        </w:tc>
        <w:tc>
          <w:tcPr/>
          <w:p>
            <w:pPr>
              <w:pStyle w:val="Compact"/>
            </w:pPr>
            <w:r>
              <w:t xml:space="preserve">Paid tiers</w:t>
            </w:r>
          </w:p>
        </w:tc>
      </w:tr>
    </w:tbl>
    <w:p>
      <w:pPr>
        <w:pStyle w:val="BodyText"/>
      </w:pPr>
      <w:r>
        <w:t xml:space="preserve">Two ad streams feed the top:</w:t>
      </w:r>
      <w:r>
        <w:t xml:space="preserve"> </w:t>
      </w:r>
      <w:r>
        <w:rPr>
          <w:b/>
          <w:bCs/>
        </w:rPr>
        <w:t xml:space="preserve">cold -&gt; Scorecard</w:t>
      </w:r>
      <w:r>
        <w:t xml:space="preserve"> </w:t>
      </w:r>
      <w:r>
        <w:t xml:space="preserve">(diagnosis-led) and</w:t>
      </w:r>
      <w:r>
        <w:t xml:space="preserve"> </w:t>
      </w:r>
      <w:r>
        <w:rPr>
          <w:b/>
          <w:bCs/>
        </w:rPr>
        <w:t xml:space="preserve">retargeting -&gt; Challenge + Membership</w:t>
      </w:r>
      <w:r>
        <w:t xml:space="preserve">. Local/warm can route straight to the Challenge. Promos always route to</w:t>
      </w:r>
      <w:r>
        <w:t xml:space="preserve"> </w:t>
      </w:r>
      <w:r>
        <w:rPr>
          <w:rStyle w:val="VerbatimChar"/>
        </w:rPr>
        <w:t xml:space="preserve">/scorecard?intent=challenge</w:t>
      </w:r>
      <w:r>
        <w:t xml:space="preserve">, never straight to a sales page. Reach is upstream of conversion - fix the earliest broken gate before blaming a caption.</w:t>
      </w:r>
    </w:p>
    <w:bookmarkEnd w:id="13"/>
    <w:bookmarkStart w:id="14" w:name="how-this-brand-relates-to-the-others"/>
    <w:p>
      <w:pPr>
        <w:pStyle w:val="Heading2"/>
      </w:pPr>
      <w:r>
        <w:t xml:space="preserve">5. How this brand relates to the others</w:t>
      </w:r>
    </w:p>
    <w:p>
      <w:pPr>
        <w:pStyle w:val="Compact"/>
        <w:numPr>
          <w:ilvl w:val="0"/>
          <w:numId w:val="1002"/>
        </w:numPr>
      </w:pPr>
      <w:r>
        <w:rPr>
          <w:b/>
          <w:bCs/>
        </w:rPr>
        <w:t xml:space="preserve">Body Recode (this doc)</w:t>
      </w:r>
      <w:r>
        <w:t xml:space="preserve"> </w:t>
      </w:r>
      <w:r>
        <w:t xml:space="preserve">= consumer demand. Fills the funnel and feeds coaching.</w:t>
      </w:r>
    </w:p>
    <w:p>
      <w:pPr>
        <w:pStyle w:val="Compact"/>
        <w:numPr>
          <w:ilvl w:val="0"/>
          <w:numId w:val="1002"/>
        </w:numPr>
      </w:pPr>
      <w:r>
        <w:rPr>
          <w:b/>
          <w:bCs/>
        </w:rPr>
        <w:t xml:space="preserve">Performance Coaching</w:t>
      </w:r>
      <w:r>
        <w:t xml:space="preserve"> </w:t>
      </w:r>
      <w:r>
        <w:t xml:space="preserve">= the delivery arm the funnel feeds (not separately marketed).</w:t>
      </w:r>
    </w:p>
    <w:p>
      <w:pPr>
        <w:pStyle w:val="Compact"/>
        <w:numPr>
          <w:ilvl w:val="0"/>
          <w:numId w:val="1002"/>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2"/>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4"/>
    <w:bookmarkEnd w:id="15"/>
    <w:bookmarkStart w:id="26" w:name="part-ii---the-content-engine-how"/>
    <w:p>
      <w:pPr>
        <w:pStyle w:val="Heading1"/>
      </w:pPr>
      <w:r>
        <w:t xml:space="preserve">PART II - THE CONTENT ENGINE (how)</w:t>
      </w:r>
    </w:p>
    <w:bookmarkStart w:id="16"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6"/>
    <w:bookmarkStart w:id="17" w:name="three-writing-rules-non-negotiable"/>
    <w:p>
      <w:pPr>
        <w:pStyle w:val="Heading2"/>
      </w:pPr>
      <w:r>
        <w:t xml:space="preserve">7. Three writing rules (non-negotiable)</w:t>
      </w:r>
    </w:p>
    <w:p>
      <w:pPr>
        <w:pStyle w:val="Compact"/>
        <w:numPr>
          <w:ilvl w:val="0"/>
          <w:numId w:val="1003"/>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3"/>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3"/>
        </w:numPr>
      </w:pPr>
      <w:r>
        <w:rPr>
          <w:b/>
          <w:bCs/>
        </w:rPr>
        <w:t xml:space="preserve">Split the job.</w:t>
      </w:r>
      <w:r>
        <w:t xml:space="preserve"> </w:t>
      </w:r>
      <w:r>
        <w:t xml:space="preserve">Some posts earn comments and saves (pure value, end on a question, no link). Others drive the click (scorecard). Never ask one post to do both - that’s why they currently land neither.</w:t>
      </w:r>
    </w:p>
    <w:bookmarkEnd w:id="17"/>
    <w:bookmarkStart w:id="18"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bookmarkEnd w:id="18"/>
    <w:bookmarkStart w:id="19"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19"/>
    <w:bookmarkStart w:id="20"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0"/>
    <w:bookmarkStart w:id="21" w:name="channels-cadence-weekly-rhythm"/>
    <w:p>
      <w:pPr>
        <w:pStyle w:val="Heading2"/>
      </w:pPr>
      <w:r>
        <w:t xml:space="preserve">11. Channels, cadence &amp; weekly rhythm</w:t>
      </w:r>
    </w:p>
    <w:p>
      <w:pPr>
        <w:pStyle w:val="Compact"/>
        <w:numPr>
          <w:ilvl w:val="0"/>
          <w:numId w:val="1004"/>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Starting weekly grid (E = engagement-first, no link; C = click/lead):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Format</w:t>
            </w:r>
          </w:p>
        </w:tc>
        <w:tc>
          <w:tcPr/>
          <w:p>
            <w:pPr>
              <w:pStyle w:val="Compact"/>
            </w:pPr>
            <w:r>
              <w:t xml:space="preserve">Job</w:t>
            </w:r>
          </w:p>
        </w:tc>
        <w:tc>
          <w:tcPr/>
          <w:p>
            <w:pPr>
              <w:pStyle w:val="Compact"/>
            </w:pPr>
            <w:r>
              <w:t xml:space="preserve">Medium</w:t>
            </w:r>
          </w:p>
        </w:tc>
      </w:tr>
      <w:tr>
        <w:tc>
          <w:tcPr/>
          <w:p>
            <w:pPr>
              <w:pStyle w:val="Compact"/>
            </w:pPr>
            <w:r>
              <w:t xml:space="preserve">Mon</w:t>
            </w:r>
          </w:p>
        </w:tc>
        <w:tc>
          <w:tcPr/>
          <w:p>
            <w:pPr>
              <w:pStyle w:val="Compact"/>
            </w:pPr>
            <w:r>
              <w:rPr>
                <w:b/>
                <w:bCs/>
              </w:rPr>
              <w:t xml:space="preserve">The Read</w:t>
            </w:r>
          </w:p>
        </w:tc>
        <w:tc>
          <w:tcPr/>
          <w:p>
            <w:pPr>
              <w:pStyle w:val="Compact"/>
            </w:pPr>
            <w:r>
              <w:t xml:space="preserve">E</w:t>
            </w:r>
          </w:p>
        </w:tc>
        <w:tc>
          <w:tcPr/>
          <w:p>
            <w:pPr>
              <w:pStyle w:val="Compact"/>
            </w:pPr>
            <w:r>
              <w:t xml:space="preserve">Reel / carousel</w:t>
            </w:r>
          </w:p>
        </w:tc>
      </w:tr>
      <w:tr>
        <w:tc>
          <w:tcPr/>
          <w:p>
            <w:pPr>
              <w:pStyle w:val="Compact"/>
            </w:pPr>
            <w:r>
              <w:t xml:space="preserve">Tue</w:t>
            </w:r>
          </w:p>
        </w:tc>
        <w:tc>
          <w:tcPr/>
          <w:p>
            <w:pPr>
              <w:pStyle w:val="Compact"/>
            </w:pPr>
            <w:r>
              <w:rPr>
                <w:b/>
                <w:bCs/>
              </w:rPr>
              <w:t xml:space="preserve">What Your ___ Says</w:t>
            </w:r>
          </w:p>
        </w:tc>
        <w:tc>
          <w:tcPr/>
          <w:p>
            <w:pPr>
              <w:pStyle w:val="Compact"/>
            </w:pPr>
            <w:r>
              <w:t xml:space="preserve">E</w:t>
            </w:r>
          </w:p>
        </w:tc>
        <w:tc>
          <w:tcPr/>
          <w:p>
            <w:pPr>
              <w:pStyle w:val="Compact"/>
            </w:pPr>
            <w:r>
              <w:t xml:space="preserve">Carousel</w:t>
            </w:r>
          </w:p>
        </w:tc>
      </w:tr>
      <w:tr>
        <w:tc>
          <w:tcPr/>
          <w:p>
            <w:pPr>
              <w:pStyle w:val="Compact"/>
            </w:pPr>
            <w:r>
              <w:t xml:space="preserve">Wed</w:t>
            </w:r>
          </w:p>
        </w:tc>
        <w:tc>
          <w:tcPr/>
          <w:p>
            <w:pPr>
              <w:pStyle w:val="Compact"/>
            </w:pPr>
            <w:r>
              <w:rPr>
                <w:b/>
                <w:bCs/>
              </w:rPr>
              <w:t xml:space="preserve">The Scenario</w:t>
            </w:r>
            <w:r>
              <w:t xml:space="preserve"> </w:t>
            </w:r>
            <w:r>
              <w:t xml:space="preserve">or</w:t>
            </w:r>
            <w:r>
              <w:t xml:space="preserve"> </w:t>
            </w:r>
            <w:r>
              <w:rPr>
                <w:b/>
                <w:bCs/>
              </w:rPr>
              <w:t xml:space="preserve">The Autopsy</w:t>
            </w:r>
          </w:p>
        </w:tc>
        <w:tc>
          <w:tcPr/>
          <w:p>
            <w:pPr>
              <w:pStyle w:val="Compact"/>
            </w:pPr>
            <w:r>
              <w:t xml:space="preserve">E</w:t>
            </w:r>
          </w:p>
        </w:tc>
        <w:tc>
          <w:tcPr/>
          <w:p>
            <w:pPr>
              <w:pStyle w:val="Compact"/>
            </w:pPr>
            <w:r>
              <w:t xml:space="preserve">Static / reel</w:t>
            </w:r>
          </w:p>
        </w:tc>
      </w:tr>
      <w:tr>
        <w:tc>
          <w:tcPr/>
          <w:p>
            <w:pPr>
              <w:pStyle w:val="Compact"/>
            </w:pPr>
            <w:r>
              <w:t xml:space="preserve">Thu</w:t>
            </w:r>
          </w:p>
        </w:tc>
        <w:tc>
          <w:tcPr/>
          <w:p>
            <w:pPr>
              <w:pStyle w:val="Compact"/>
            </w:pPr>
            <w:r>
              <w:rPr>
                <w:b/>
                <w:bCs/>
              </w:rPr>
              <w:t xml:space="preserve">Receipts</w:t>
            </w:r>
            <w:r>
              <w:t xml:space="preserve"> </w:t>
            </w:r>
            <w:r>
              <w:t xml:space="preserve">or</w:t>
            </w:r>
            <w:r>
              <w:t xml:space="preserve"> </w:t>
            </w:r>
            <w:r>
              <w:rPr>
                <w:b/>
                <w:bCs/>
              </w:rPr>
              <w:t xml:space="preserve">React to DMs</w:t>
            </w:r>
          </w:p>
        </w:tc>
        <w:tc>
          <w:tcPr/>
          <w:p>
            <w:pPr>
              <w:pStyle w:val="Compact"/>
            </w:pPr>
            <w:r>
              <w:t xml:space="preserve">E (proof)</w:t>
            </w:r>
          </w:p>
        </w:tc>
        <w:tc>
          <w:tcPr/>
          <w:p>
            <w:pPr>
              <w:pStyle w:val="Compact"/>
            </w:pPr>
            <w:r>
              <w:t xml:space="preserve">Reel</w:t>
            </w:r>
          </w:p>
        </w:tc>
      </w:tr>
      <w:tr>
        <w:tc>
          <w:tcPr/>
          <w:p>
            <w:pPr>
              <w:pStyle w:val="Compact"/>
            </w:pPr>
            <w:r>
              <w:t xml:space="preserve">Fri</w:t>
            </w:r>
          </w:p>
        </w:tc>
        <w:tc>
          <w:tcPr/>
          <w:p>
            <w:pPr>
              <w:pStyle w:val="Compact"/>
            </w:pPr>
            <w:r>
              <w:rPr>
                <w:b/>
                <w:bCs/>
              </w:rPr>
              <w:t xml:space="preserve">Comment-to-DM read</w:t>
            </w:r>
            <w:r>
              <w:t xml:space="preserve"> </w:t>
            </w:r>
            <w:r>
              <w:t xml:space="preserve">or</w:t>
            </w:r>
            <w:r>
              <w:t xml:space="preserve"> </w:t>
            </w:r>
            <w:r>
              <w:rPr>
                <w:b/>
                <w:bCs/>
              </w:rPr>
              <w:t xml:space="preserve">State of the Data</w:t>
            </w:r>
          </w:p>
        </w:tc>
        <w:tc>
          <w:tcPr/>
          <w:p>
            <w:pPr>
              <w:pStyle w:val="Compact"/>
            </w:pPr>
            <w:r>
              <w:t xml:space="preserve">C</w:t>
            </w:r>
          </w:p>
        </w:tc>
        <w:tc>
          <w:tcPr/>
          <w:p>
            <w:pPr>
              <w:pStyle w:val="Compact"/>
            </w:pPr>
            <w:r>
              <w:t xml:space="preserve">Static + DM</w:t>
            </w:r>
          </w:p>
        </w:tc>
      </w:tr>
    </w:tbl>
    <w:p>
      <w:pPr>
        <w:pStyle w:val="BodyText"/>
      </w:pPr>
      <w:r>
        <w:t xml:space="preserve">Stories run alongside daily: the</w:t>
      </w:r>
      <w:r>
        <w:t xml:space="preserve"> </w:t>
      </w:r>
      <w:r>
        <w:t xml:space="preserve">“which state are you”</w:t>
      </w:r>
      <w:r>
        <w:t xml:space="preserve"> </w:t>
      </w:r>
      <w:r>
        <w:t xml:space="preserve">mini-quiz, polls, behind-the-scenes reads. Appointment content: The Read is always Monday, so the audience learns to show up.</w:t>
      </w:r>
    </w:p>
    <w:bookmarkEnd w:id="21"/>
    <w:bookmarkStart w:id="22"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2"/>
    <w:bookmarkStart w:id="23"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3"/>
    <w:bookmarkStart w:id="24"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4"/>
    <w:bookmarkStart w:id="25"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5"/>
        </w:numPr>
      </w:pPr>
      <w:r>
        <w:rPr>
          <w:b/>
          <w:bCs/>
        </w:rPr>
        <w:t xml:space="preserve">The Read</w:t>
      </w:r>
      <w:r>
        <w:t xml:space="preserve"> </w:t>
      </w:r>
      <w:r>
        <w:t xml:space="preserve">- the signature demo, weekly.</w:t>
      </w:r>
    </w:p>
    <w:p>
      <w:pPr>
        <w:pStyle w:val="Compact"/>
        <w:numPr>
          <w:ilvl w:val="0"/>
          <w:numId w:val="1005"/>
        </w:numPr>
      </w:pPr>
      <w:r>
        <w:rPr>
          <w:b/>
          <w:bCs/>
        </w:rPr>
        <w:t xml:space="preserve">State of the Data</w:t>
      </w:r>
      <w:r>
        <w:t xml:space="preserve"> </w:t>
      </w:r>
      <w:r>
        <w:t xml:space="preserve">- your own scorecard patterns as content.</w:t>
      </w:r>
    </w:p>
    <w:p>
      <w:pPr>
        <w:pStyle w:val="Compact"/>
        <w:numPr>
          <w:ilvl w:val="0"/>
          <w:numId w:val="1005"/>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5"/>
    <w:bookmarkEnd w:id="26"/>
    <w:bookmarkStart w:id="31" w:name="part-iii---standards-measurement"/>
    <w:p>
      <w:pPr>
        <w:pStyle w:val="Heading1"/>
      </w:pPr>
      <w:r>
        <w:t xml:space="preserve">PART III - STANDARDS &amp; MEASUREMENT</w:t>
      </w:r>
    </w:p>
    <w:bookmarkStart w:id="27" w:name="voice-design-rules"/>
    <w:p>
      <w:pPr>
        <w:pStyle w:val="Heading2"/>
      </w:pPr>
      <w:r>
        <w:t xml:space="preserve">16. Voice &amp; design rules</w:t>
      </w:r>
    </w:p>
    <w:p>
      <w:pPr>
        <w:pStyle w:val="Compact"/>
        <w:numPr>
          <w:ilvl w:val="0"/>
          <w:numId w:val="1006"/>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6"/>
        </w:numPr>
      </w:pPr>
      <w:r>
        <w:rPr>
          <w:b/>
          <w:bCs/>
        </w:rPr>
        <w:t xml:space="preserve">No em dashes</w:t>
      </w:r>
      <w:r>
        <w:t xml:space="preserve"> </w:t>
      </w:r>
      <w:r>
        <w:t xml:space="preserve">(house style) - hyphens or rewrites.</w:t>
      </w:r>
    </w:p>
    <w:p>
      <w:pPr>
        <w:pStyle w:val="Compact"/>
        <w:numPr>
          <w:ilvl w:val="0"/>
          <w:numId w:val="1006"/>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6"/>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7"/>
    <w:bookmarkStart w:id="28"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 make the Scorecard the destination;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bookmarkEnd w:id="28"/>
    <w:bookmarkStart w:id="29"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29"/>
    <w:bookmarkStart w:id="30" w:name="build-dependencies"/>
    <w:p>
      <w:pPr>
        <w:pStyle w:val="Heading2"/>
      </w:pPr>
      <w:r>
        <w:t xml:space="preserve">19. Build dependencies</w:t>
      </w:r>
    </w:p>
    <w:p>
      <w:pPr>
        <w:pStyle w:val="Compact"/>
        <w:numPr>
          <w:ilvl w:val="0"/>
          <w:numId w:val="1007"/>
        </w:numPr>
      </w:pPr>
      <w:r>
        <w:rPr>
          <w:b/>
          <w:bCs/>
        </w:rPr>
        <w:t xml:space="preserve">Voice-of-customer swipe file</w:t>
      </w:r>
      <w:r>
        <w:t xml:space="preserve"> </w:t>
      </w:r>
      <w:r>
        <w:t xml:space="preserve">- mine real phrases from scorecard answers + DMs. (Buildable on our side.)</w:t>
      </w:r>
    </w:p>
    <w:p>
      <w:pPr>
        <w:pStyle w:val="Compact"/>
        <w:numPr>
          <w:ilvl w:val="0"/>
          <w:numId w:val="1007"/>
        </w:numPr>
      </w:pPr>
      <w:r>
        <w:rPr>
          <w:b/>
          <w:bCs/>
        </w:rPr>
        <w:t xml:space="preserve">Personalised-read DM flows</w:t>
      </w:r>
      <w:r>
        <w:t xml:space="preserve"> </w:t>
      </w:r>
      <w:r>
        <w:t xml:space="preserve">in ManyChat - Kade builds, spec provided.</w:t>
      </w:r>
    </w:p>
    <w:p>
      <w:pPr>
        <w:pStyle w:val="Compact"/>
        <w:numPr>
          <w:ilvl w:val="0"/>
          <w:numId w:val="1007"/>
        </w:numPr>
      </w:pPr>
      <w:r>
        <w:rPr>
          <w:b/>
          <w:bCs/>
        </w:rPr>
        <w:t xml:space="preserve">Leads webhook</w:t>
      </w:r>
      <w:r>
        <w:t xml:space="preserve"> </w:t>
      </w:r>
      <w:r>
        <w:t xml:space="preserve">- ManyChat -&gt; dashboard, leads tagged by keyword. (Buildable on our side.)</w:t>
      </w:r>
    </w:p>
    <w:p>
      <w:pPr>
        <w:pStyle w:val="Compact"/>
        <w:numPr>
          <w:ilvl w:val="0"/>
          <w:numId w:val="1007"/>
        </w:numPr>
      </w:pPr>
      <w:r>
        <w:rPr>
          <w:b/>
          <w:bCs/>
        </w:rPr>
        <w:t xml:space="preserve">Reels / face</w:t>
      </w:r>
      <w:r>
        <w:t xml:space="preserve"> </w:t>
      </w:r>
      <w:r>
        <w:t xml:space="preserve">- Kade films, or HeyGen scales it.</w:t>
      </w:r>
    </w:p>
    <w:p>
      <w:pPr>
        <w:pStyle w:val="Compact"/>
        <w:numPr>
          <w:ilvl w:val="0"/>
          <w:numId w:val="1007"/>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2026-07-19T05:58:05Z</dcterms:created>
  <dcterms:modified xsi:type="dcterms:W3CDTF">2026-07-19T05:58:05Z</dcterms:modified>
</cp:coreProperties>
</file>

<file path=docProps/custom.xml><?xml version="1.0" encoding="utf-8"?>
<Properties xmlns="http://schemas.openxmlformats.org/officeDocument/2006/custom-properties" xmlns:vt="http://schemas.openxmlformats.org/officeDocument/2006/docPropsVTypes"/>
</file>