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founding-ten-legal-package-v0.1-draft"/>
    <w:p>
      <w:pPr>
        <w:pStyle w:val="Heading1"/>
      </w:pPr>
      <w:r>
        <w:t xml:space="preserve">Founding Ten · Legal package (v0.1 draft)</w:t>
      </w:r>
    </w:p>
    <w:p>
      <w:pPr>
        <w:pStyle w:val="FirstParagraph"/>
      </w:pPr>
      <w:r>
        <w:rPr>
          <w:b/>
          <w:bCs/>
        </w:rPr>
        <w:t xml:space="preserve">Status:</w:t>
      </w:r>
      <w:r>
        <w:t xml:space="preserve"> </w:t>
      </w:r>
      <w:r>
        <w:t xml:space="preserve">DRAFT for legal review. NOT signed, NOT executable in current form.</w:t>
      </w:r>
    </w:p>
    <w:p>
      <w:pPr>
        <w:pStyle w:val="BodyText"/>
      </w:pPr>
      <w:r>
        <w:t xml:space="preserve">This folder holds the commercial + IP paperwork for the Body Recode Collective Founding Ten programme. All documents are v0.1 drafts prepared for a solicitor to review, tune, and sign off before any partner signs.</w:t>
      </w:r>
    </w:p>
    <w:bookmarkStart w:id="9" w:name="what-is-in-this-package"/>
    <w:p>
      <w:pPr>
        <w:pStyle w:val="Heading2"/>
      </w:pPr>
      <w:r>
        <w:t xml:space="preserve">What is in this package</w:t>
      </w:r>
    </w:p>
    <w:tbl>
      <w:tblPr>
        <w:tblStyle w:val="Table"/>
        <w:tblW w:type="pct" w:w="5000"/>
        <w:tblLayout w:type="fixed"/>
        <w:tblLook w:firstRow="1" w:lastRow="0" w:firstColumn="0" w:lastColumn="0" w:noHBand="0" w:noVBand="0" w:val="0020"/>
      </w:tblPr>
      <w:tblGrid>
        <w:gridCol w:w="2066"/>
        <w:gridCol w:w="3099"/>
        <w:gridCol w:w="2754"/>
      </w:tblGrid>
      <w:tr>
        <w:trPr>
          <w:tblHeader w:val="on"/>
        </w:trPr>
        <w:tc>
          <w:tcPr/>
          <w:p>
            <w:pPr>
              <w:pStyle w:val="Compact"/>
            </w:pPr>
            <w:r>
              <w:t xml:space="preserve">File</w:t>
            </w:r>
          </w:p>
        </w:tc>
        <w:tc>
          <w:tcPr/>
          <w:p>
            <w:pPr>
              <w:pStyle w:val="Compact"/>
            </w:pPr>
            <w:r>
              <w:t xml:space="preserve">Purpose</w:t>
            </w:r>
          </w:p>
        </w:tc>
        <w:tc>
          <w:tcPr/>
          <w:p>
            <w:pPr>
              <w:pStyle w:val="Compact"/>
            </w:pPr>
            <w:r>
              <w:t xml:space="preserve">Length</w:t>
            </w:r>
          </w:p>
        </w:tc>
      </w:tr>
      <w:tr>
        <w:tc>
          <w:tcPr/>
          <w:p>
            <w:pPr>
              <w:pStyle w:val="Compact"/>
            </w:pPr>
            <w:r>
              <w:rPr>
                <w:rStyle w:val="VerbatimChar"/>
              </w:rPr>
              <w:t xml:space="preserve">COVER_NOTE_TO_LEGAL.md</w:t>
            </w:r>
          </w:p>
        </w:tc>
        <w:tc>
          <w:tcPr/>
          <w:p>
            <w:pPr>
              <w:pStyle w:val="Compact"/>
            </w:pPr>
            <w:r>
              <w:t xml:space="preserve">Specific questions for the legal reviewer + areas of concern</w:t>
            </w:r>
          </w:p>
        </w:tc>
        <w:tc>
          <w:tcPr/>
          <w:p>
            <w:pPr>
              <w:pStyle w:val="Compact"/>
            </w:pPr>
            <w:r>
              <w:t xml:space="preserve">~2 pages</w:t>
            </w:r>
          </w:p>
        </w:tc>
      </w:tr>
      <w:tr>
        <w:tc>
          <w:tcPr/>
          <w:p>
            <w:pPr>
              <w:pStyle w:val="Compact"/>
            </w:pPr>
            <w:r>
              <w:rPr>
                <w:rStyle w:val="VerbatimChar"/>
              </w:rPr>
              <w:t xml:space="preserve">FOUNDING_PARTNER_AGREEMENT_v0.1.md</w:t>
            </w:r>
          </w:p>
        </w:tc>
        <w:tc>
          <w:tcPr/>
          <w:p>
            <w:pPr>
              <w:pStyle w:val="Compact"/>
            </w:pPr>
            <w:r>
              <w:t xml:space="preserve">Commercial contract between BR and a Founding Ten partner (Launch tier)</w:t>
            </w:r>
          </w:p>
        </w:tc>
        <w:tc>
          <w:tcPr/>
          <w:p>
            <w:pPr>
              <w:pStyle w:val="Compact"/>
            </w:pPr>
            <w:r>
              <w:t xml:space="preserve">~10 pages</w:t>
            </w:r>
          </w:p>
        </w:tc>
      </w:tr>
      <w:tr>
        <w:tc>
          <w:tcPr/>
          <w:p>
            <w:pPr>
              <w:pStyle w:val="Compact"/>
            </w:pPr>
            <w:r>
              <w:rPr>
                <w:rStyle w:val="VerbatimChar"/>
              </w:rPr>
              <w:t xml:space="preserve">IP_LICENCE_DEED_v0.1.md</w:t>
            </w:r>
          </w:p>
        </w:tc>
        <w:tc>
          <w:tcPr/>
          <w:p>
            <w:pPr>
              <w:pStyle w:val="Compact"/>
            </w:pPr>
            <w:r>
              <w:t xml:space="preserve">Companion IP licence granting Layer 2 platform + engine access rights</w:t>
            </w:r>
          </w:p>
        </w:tc>
        <w:tc>
          <w:tcPr/>
          <w:p>
            <w:pPr>
              <w:pStyle w:val="Compact"/>
            </w:pPr>
            <w:r>
              <w:t xml:space="preserve">~6 pages</w:t>
            </w:r>
          </w:p>
        </w:tc>
      </w:tr>
    </w:tbl>
    <w:bookmarkEnd w:id="9"/>
    <w:bookmarkStart w:id="10" w:name="why-two-documents"/>
    <w:p>
      <w:pPr>
        <w:pStyle w:val="Heading2"/>
      </w:pPr>
      <w:r>
        <w:t xml:space="preserve">Why two documents</w:t>
      </w:r>
    </w:p>
    <w:p>
      <w:pPr>
        <w:pStyle w:val="FirstParagraph"/>
      </w:pPr>
      <w:r>
        <w:t xml:space="preserve">The commercial agreement and the IP licence are separated so the licence deed can survive independently of the commercial contract if needed (for enforcement, litigation, or renegotiation). This is standard practice for software + IP-heavy commercial relationships.</w:t>
      </w:r>
    </w:p>
    <w:p>
      <w:pPr>
        <w:pStyle w:val="BodyText"/>
      </w:pPr>
      <w:r>
        <w:t xml:space="preserve">Both documents cross-reference each other and must be signed together as one package.</w:t>
      </w:r>
    </w:p>
    <w:bookmarkEnd w:id="10"/>
    <w:bookmarkStart w:id="11" w:name="how-to-use-these-drafts"/>
    <w:p>
      <w:pPr>
        <w:pStyle w:val="Heading2"/>
      </w:pPr>
      <w:r>
        <w:t xml:space="preserve">How to use these drafts</w:t>
      </w:r>
    </w:p>
    <w:p>
      <w:pPr>
        <w:pStyle w:val="Compact"/>
        <w:numPr>
          <w:ilvl w:val="0"/>
          <w:numId w:val="1001"/>
        </w:numPr>
      </w:pPr>
      <w:r>
        <w:rPr>
          <w:b/>
          <w:bCs/>
        </w:rPr>
        <w:t xml:space="preserve">Read the cover note first.</w:t>
      </w:r>
      <w:r>
        <w:t xml:space="preserve"> </w:t>
      </w:r>
      <w:r>
        <w:t xml:space="preserve">It flags the sections that need a lawyer’s eye most.</w:t>
      </w:r>
    </w:p>
    <w:p>
      <w:pPr>
        <w:pStyle w:val="Compact"/>
        <w:numPr>
          <w:ilvl w:val="0"/>
          <w:numId w:val="1001"/>
        </w:numPr>
      </w:pPr>
      <w:r>
        <w:rPr>
          <w:b/>
          <w:bCs/>
        </w:rPr>
        <w:t xml:space="preserve">Review the agreement + licence in parallel.</w:t>
      </w:r>
      <w:r>
        <w:t xml:space="preserve"> </w:t>
      </w:r>
      <w:r>
        <w:t xml:space="preserve">Definitions are shared across both.</w:t>
      </w:r>
    </w:p>
    <w:p>
      <w:pPr>
        <w:pStyle w:val="Compact"/>
        <w:numPr>
          <w:ilvl w:val="0"/>
          <w:numId w:val="1001"/>
        </w:numPr>
      </w:pPr>
      <w:r>
        <w:rPr>
          <w:b/>
          <w:bCs/>
        </w:rPr>
        <w:t xml:space="preserve">Mark up in Word.</w:t>
      </w:r>
      <w:r>
        <w:t xml:space="preserve"> </w:t>
      </w:r>
      <w:r>
        <w:t xml:space="preserve">Import via pandoc to a</w:t>
      </w:r>
      <w:r>
        <w:t xml:space="preserve"> </w:t>
      </w:r>
      <w:r>
        <w:rPr>
          <w:rStyle w:val="VerbatimChar"/>
        </w:rPr>
        <w:t xml:space="preserve">.docx</w:t>
      </w:r>
      <w:r>
        <w:t xml:space="preserve"> </w:t>
      </w:r>
      <w:r>
        <w:t xml:space="preserve">copy (see</w:t>
      </w:r>
      <w:r>
        <w:t xml:space="preserve"> </w:t>
      </w:r>
      <w:r>
        <w:rPr>
          <w:rStyle w:val="VerbatimChar"/>
        </w:rPr>
        <w:t xml:space="preserve">_pdf_build</w:t>
      </w:r>
      <w:r>
        <w:t xml:space="preserve"> </w:t>
      </w:r>
      <w:r>
        <w:t xml:space="preserve">folder for reference).</w:t>
      </w:r>
    </w:p>
    <w:p>
      <w:pPr>
        <w:pStyle w:val="Compact"/>
        <w:numPr>
          <w:ilvl w:val="0"/>
          <w:numId w:val="1001"/>
        </w:numPr>
      </w:pPr>
      <w:r>
        <w:rPr>
          <w:b/>
          <w:bCs/>
        </w:rPr>
        <w:t xml:space="preserve">Return with a redlined v0.2</w:t>
      </w:r>
      <w:r>
        <w:t xml:space="preserve"> </w:t>
      </w:r>
      <w:r>
        <w:t xml:space="preserve">for Kade to review before final v1.0 execution.</w:t>
      </w:r>
    </w:p>
    <w:bookmarkEnd w:id="11"/>
    <w:bookmarkStart w:id="12" w:name="reference-commercial-numbers-locked"/>
    <w:p>
      <w:pPr>
        <w:pStyle w:val="Heading2"/>
      </w:pPr>
      <w:r>
        <w:t xml:space="preserve">Reference commercial numbers (locked)</w:t>
      </w:r>
    </w:p>
    <w:p>
      <w:pPr>
        <w:pStyle w:val="FirstParagraph"/>
      </w:pPr>
      <w:r>
        <w:t xml:space="preserve">Per</w:t>
      </w:r>
      <w:r>
        <w:t xml:space="preserve"> </w:t>
      </w:r>
      <w:r>
        <w:rPr>
          <w:rStyle w:val="VerbatimChar"/>
        </w:rPr>
        <w:t xml:space="preserve">~/Dropbox/03_STUDIO_OF_TEN/00_FOUNDING_TEN/OFFER_ARCHITECTURE.md</w:t>
      </w:r>
      <w:r>
        <w:t xml:space="preserve">:</w:t>
      </w:r>
    </w:p>
    <w:tbl>
      <w:tblPr>
        <w:tblStyle w:val="Table"/>
        <w:tblW w:type="pct" w:w="5000"/>
        <w:tblLayout w:type="fixed"/>
        <w:tblLook w:firstRow="1" w:lastRow="0" w:firstColumn="0" w:lastColumn="0" w:noHBand="0" w:noVBand="0" w:val="0020"/>
      </w:tblPr>
      <w:tblGrid>
        <w:gridCol w:w="742"/>
        <w:gridCol w:w="1608"/>
        <w:gridCol w:w="1608"/>
        <w:gridCol w:w="3960"/>
      </w:tblGrid>
      <w:tr>
        <w:trPr>
          <w:tblHeader w:val="on"/>
        </w:trPr>
        <w:tc>
          <w:tcPr/>
          <w:p>
            <w:pPr>
              <w:pStyle w:val="Compact"/>
            </w:pPr>
            <w:r>
              <w:t xml:space="preserve">Line</w:t>
            </w:r>
          </w:p>
        </w:tc>
        <w:tc>
          <w:tcPr/>
          <w:p>
            <w:pPr>
              <w:pStyle w:val="Compact"/>
            </w:pPr>
            <w:r>
              <w:t xml:space="preserve">Launch tier</w:t>
            </w:r>
          </w:p>
        </w:tc>
        <w:tc>
          <w:tcPr/>
          <w:p>
            <w:pPr>
              <w:pStyle w:val="Compact"/>
            </w:pPr>
            <w:r>
              <w:t xml:space="preserve">Studio tier</w:t>
            </w:r>
          </w:p>
        </w:tc>
        <w:tc>
          <w:tcPr/>
          <w:p>
            <w:pPr>
              <w:pStyle w:val="Compact"/>
            </w:pPr>
            <w:r>
              <w:t xml:space="preserve">Founding Ten (locked for life)</w:t>
            </w:r>
          </w:p>
        </w:tc>
      </w:tr>
      <w:tr>
        <w:tc>
          <w:tcPr/>
          <w:p>
            <w:pPr>
              <w:pStyle w:val="Compact"/>
            </w:pPr>
            <w:r>
              <w:t xml:space="preserve">Setup fee (one-time)</w:t>
            </w:r>
          </w:p>
        </w:tc>
        <w:tc>
          <w:tcPr/>
          <w:p>
            <w:pPr>
              <w:pStyle w:val="Compact"/>
            </w:pPr>
            <w:r>
              <w:t xml:space="preserve">AUD $5,000</w:t>
            </w:r>
          </w:p>
        </w:tc>
        <w:tc>
          <w:tcPr/>
          <w:p>
            <w:pPr>
              <w:pStyle w:val="Compact"/>
            </w:pPr>
            <w:r>
              <w:t xml:space="preserve">AUD $12,000</w:t>
            </w:r>
          </w:p>
        </w:tc>
        <w:tc>
          <w:tcPr/>
          <w:p>
            <w:pPr>
              <w:pStyle w:val="Compact"/>
            </w:pPr>
            <w:r>
              <w:t xml:space="preserve">Launch $2,500 / Studio $6,000</w:t>
            </w:r>
          </w:p>
        </w:tc>
      </w:tr>
      <w:tr>
        <w:tc>
          <w:tcPr/>
          <w:p>
            <w:pPr>
              <w:pStyle w:val="Compact"/>
            </w:pPr>
            <w:r>
              <w:t xml:space="preserve">Platform subscription (per month)</w:t>
            </w:r>
          </w:p>
        </w:tc>
        <w:tc>
          <w:tcPr/>
          <w:p>
            <w:pPr>
              <w:pStyle w:val="Compact"/>
            </w:pPr>
            <w:r>
              <w:t xml:space="preserve">AUD $400</w:t>
            </w:r>
          </w:p>
        </w:tc>
        <w:tc>
          <w:tcPr/>
          <w:p>
            <w:pPr>
              <w:pStyle w:val="Compact"/>
            </w:pPr>
            <w:r>
              <w:t xml:space="preserve">AUD $600</w:t>
            </w:r>
          </w:p>
        </w:tc>
        <w:tc>
          <w:tcPr/>
          <w:p>
            <w:pPr>
              <w:pStyle w:val="Compact"/>
            </w:pPr>
            <w:r>
              <w:t xml:space="preserve">Locked at founding rate</w:t>
            </w:r>
          </w:p>
        </w:tc>
      </w:tr>
      <w:tr>
        <w:tc>
          <w:tcPr/>
          <w:p>
            <w:pPr>
              <w:pStyle w:val="Compact"/>
            </w:pPr>
            <w:r>
              <w:t xml:space="preserve">Per active client (per month)</w:t>
            </w:r>
          </w:p>
        </w:tc>
        <w:tc>
          <w:tcPr/>
          <w:p>
            <w:pPr>
              <w:pStyle w:val="Compact"/>
            </w:pPr>
            <w:r>
              <w:t xml:space="preserve">AUD $20</w:t>
            </w:r>
          </w:p>
        </w:tc>
        <w:tc>
          <w:tcPr/>
          <w:p>
            <w:pPr>
              <w:pStyle w:val="Compact"/>
            </w:pPr>
            <w:r>
              <w:t xml:space="preserve">AUD $20</w:t>
            </w:r>
          </w:p>
        </w:tc>
        <w:tc>
          <w:tcPr/>
          <w:p>
            <w:pPr>
              <w:pStyle w:val="Compact"/>
            </w:pPr>
            <w:r>
              <w:t xml:space="preserve">Same</w:t>
            </w:r>
          </w:p>
        </w:tc>
      </w:tr>
    </w:tbl>
    <w:p>
      <w:pPr>
        <w:pStyle w:val="BodyText"/>
      </w:pPr>
      <w:r>
        <w:t xml:space="preserve">Founding Ten members get: setup discount, subscription locked for life, case study rights (mutual), roadmap input, first access to new features.</w:t>
      </w:r>
    </w:p>
    <w:bookmarkEnd w:id="12"/>
    <w:bookmarkStart w:id="13" w:name="governing-law"/>
    <w:p>
      <w:pPr>
        <w:pStyle w:val="Heading2"/>
      </w:pPr>
      <w:r>
        <w:t xml:space="preserve">Governing law</w:t>
      </w:r>
    </w:p>
    <w:p>
      <w:pPr>
        <w:pStyle w:val="FirstParagraph"/>
      </w:pPr>
      <w:r>
        <w:t xml:space="preserve">Queensland, Australia. Body Recode is Brisbane-based.</w:t>
      </w:r>
    </w:p>
    <w:bookmarkEnd w:id="13"/>
    <w:bookmarkStart w:id="14" w:name="related-documents"/>
    <w:p>
      <w:pPr>
        <w:pStyle w:val="Heading2"/>
      </w:pPr>
      <w:r>
        <w:t xml:space="preserve">Related documents</w:t>
      </w:r>
    </w:p>
    <w:p>
      <w:pPr>
        <w:pStyle w:val="Compact"/>
        <w:numPr>
          <w:ilvl w:val="0"/>
          <w:numId w:val="1002"/>
        </w:numPr>
      </w:pPr>
      <w:r>
        <w:rPr>
          <w:rStyle w:val="VerbatimChar"/>
        </w:rPr>
        <w:t xml:space="preserve">../OFFER_ARCHITECTURE.md</w:t>
      </w:r>
      <w:r>
        <w:t xml:space="preserve"> </w:t>
      </w:r>
      <w:r>
        <w:t xml:space="preserve">— commercial offer detail</w:t>
      </w:r>
    </w:p>
    <w:p>
      <w:pPr>
        <w:pStyle w:val="Compact"/>
        <w:numPr>
          <w:ilvl w:val="0"/>
          <w:numId w:val="1002"/>
        </w:numPr>
      </w:pPr>
      <w:r>
        <w:rPr>
          <w:rStyle w:val="VerbatimChar"/>
        </w:rPr>
        <w:t xml:space="preserve">../POWERED_PLATFORM_BUILD_PLAN.md</w:t>
      </w:r>
      <w:r>
        <w:t xml:space="preserve"> </w:t>
      </w:r>
      <w:r>
        <w:t xml:space="preserve">— what the licensed platform is technically</w:t>
      </w:r>
    </w:p>
    <w:p>
      <w:pPr>
        <w:pStyle w:val="Compact"/>
        <w:numPr>
          <w:ilvl w:val="0"/>
          <w:numId w:val="1002"/>
        </w:numPr>
      </w:pPr>
      <w:r>
        <w:rPr>
          <w:rStyle w:val="VerbatimChar"/>
        </w:rPr>
        <w:t xml:space="preserve">../onboarding/PARTNER_JOURNEY.md</w:t>
      </w:r>
      <w:r>
        <w:t xml:space="preserve"> </w:t>
      </w:r>
      <w:r>
        <w:t xml:space="preserve">— the 8-stage business process</w:t>
      </w:r>
    </w:p>
    <w:p>
      <w:pPr>
        <w:pStyle w:val="Compact"/>
        <w:numPr>
          <w:ilvl w:val="0"/>
          <w:numId w:val="1002"/>
        </w:numPr>
      </w:pPr>
      <w:r>
        <w:rPr>
          <w:rStyle w:val="VerbatimChar"/>
        </w:rPr>
        <w:t xml:space="preserve">../onboarding/PHASE_2_TENANT_DEPLOYMENT_CHECKLIST.md</w:t>
      </w:r>
      <w:r>
        <w:t xml:space="preserve"> </w:t>
      </w:r>
      <w:r>
        <w:t xml:space="preserve">— technical onboarding runbook</w:t>
      </w:r>
    </w:p>
    <w:p>
      <w:pPr>
        <w:pStyle w:val="Compact"/>
        <w:numPr>
          <w:ilvl w:val="0"/>
          <w:numId w:val="1002"/>
        </w:numPr>
      </w:pPr>
      <w:r>
        <w:t xml:space="preserve">Auto-memory:</w:t>
      </w:r>
      <w:r>
        <w:t xml:space="preserve"> </w:t>
      </w:r>
      <w:r>
        <w:rPr>
          <w:rStyle w:val="VerbatimChar"/>
        </w:rPr>
        <w:t xml:space="preserve">project_sot_white_label_licensing_model</w:t>
      </w:r>
      <w:r>
        <w:t xml:space="preserve">,</w:t>
      </w:r>
      <w:r>
        <w:t xml:space="preserve"> </w:t>
      </w:r>
      <w:r>
        <w:rPr>
          <w:rStyle w:val="VerbatimChar"/>
        </w:rPr>
        <w:t xml:space="preserve">project_founding_partner_offer</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2026-07-28T22:15:52Z</dcterms:created>
  <dcterms:modified xsi:type="dcterms:W3CDTF">2026-07-28T22:15:52Z</dcterms:modified>
</cp:coreProperties>
</file>

<file path=docProps/custom.xml><?xml version="1.0" encoding="utf-8"?>
<Properties xmlns="http://schemas.openxmlformats.org/officeDocument/2006/custom-properties" xmlns:vt="http://schemas.openxmlformats.org/officeDocument/2006/docPropsVTypes"/>
</file>