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230acd38f3128029bbe8aa5cd9f8ac4843b290c"/>
    <w:p>
      <w:pPr>
        <w:pStyle w:val="Heading1"/>
      </w:pPr>
      <w:r>
        <w:t xml:space="preserve">onboarding/ — Founding-partner onboarding flow</w:t>
      </w:r>
    </w:p>
    <w:p>
      <w:pPr>
        <w:pStyle w:val="FirstParagraph"/>
      </w:pPr>
      <w:r>
        <w:rPr>
          <w:b/>
          <w:bCs/>
        </w:rPr>
        <w:t xml:space="preserve">→ The canonical map is</w:t>
      </w:r>
      <w:r>
        <w:rPr>
          <w:b/>
          <w:bCs/>
        </w:rPr>
        <w:t xml:space="preserve"> </w:t>
      </w:r>
      <w:hyperlink r:id="rId9">
        <w:r>
          <w:rPr>
            <w:rStyle w:val="VerbatimChar"/>
            <w:b/>
            <w:bCs/>
          </w:rPr>
          <w:t xml:space="preserve">PARTNER_JOURNEY.md</w:t>
        </w:r>
      </w:hyperlink>
      <w:r>
        <w:rPr>
          <w:b/>
          <w:bCs/>
        </w:rPr>
        <w:t xml:space="preserve">: the actual end-to-end process, first contact → live &amp; running, with current-state reality flagged.</w:t>
      </w:r>
    </w:p>
    <w:p>
      <w:pPr>
        <w:pStyle w:val="BodyText"/>
      </w:pPr>
      <w:r>
        <w:t xml:space="preserve">The path a founding partner walks from signed to launched:</w:t>
      </w:r>
      <w:r>
        <w:t xml:space="preserve"> </w:t>
      </w:r>
      <w:r>
        <w:rPr>
          <w:b/>
          <w:bCs/>
        </w:rPr>
        <w:t xml:space="preserve">IP extraction → build → launch</w:t>
      </w:r>
      <w:r>
        <w:t xml:space="preserve">.</w:t>
      </w:r>
    </w:p>
    <w:p>
      <w:pPr>
        <w:pStyle w:val="BodyText"/>
      </w:pPr>
      <w:r>
        <w:t xml:space="preserve">This folder holds the founding-ten-specific onboarding arc. The reusable pieces already exist elsewhere — link, don’t duplicate: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extraction (Stage 00)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../../04_CLIENT_LIFECYCLE/00_ip_extraction/</w:t>
      </w:r>
      <w:r>
        <w:t xml:space="preserve"> </w:t>
      </w:r>
      <w:r>
        <w:t xml:space="preserve">(for partners without a locked method; the Pause/Reflect/Document model).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 checklist / access setup / kickoff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../../04_CLIENT_LIFECYCLE/04_onboarding/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stages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../../04_CLIENT_LIFECYCLE/05_build/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Launch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../../04_CLIENT_LIFECYCLE/06_launch/</w:t>
      </w:r>
      <w:r>
        <w:t xml:space="preserve">.</w:t>
      </w:r>
    </w:p>
    <w:p>
      <w:pPr>
        <w:pStyle w:val="FirstParagraph"/>
      </w:pPr>
      <w:r>
        <w:t xml:space="preserve">What’s missing and belongs here later: the</w:t>
      </w:r>
      <w:r>
        <w:t xml:space="preserve"> </w:t>
      </w:r>
      <w:r>
        <w:rPr>
          <w:b/>
          <w:bCs/>
        </w:rPr>
        <w:t xml:space="preserve">powered-platform-specific</w:t>
      </w:r>
      <w:r>
        <w:t xml:space="preserve"> </w:t>
      </w:r>
      <w:r>
        <w:t xml:space="preserve">onboarding (modality selection, white-label branding intake, scorecard setup, doctrine A-now confirmation) — i.e. the steps unique to spinning up a tenant on the engine, not the generic agency lifecycle.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PARTNER_JOURNE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ARTNER_JOURNE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2026-07-28T22:15:52Z</dcterms:created>
  <dcterms:modified xsi:type="dcterms:W3CDTF">2026-07-28T22:15:52Z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