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phase-2-tenant-deployment-checklist"/>
    <w:p>
      <w:pPr>
        <w:pStyle w:val="Heading1"/>
      </w:pPr>
      <w:r>
        <w:t xml:space="preserve">Phase 2 Tenant Deployment Checklist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LIVE as of 2026-07-02. First real tenant onboarding = Melisa (pilot zero).</w:t>
      </w:r>
      <w:r>
        <w:t xml:space="preserve"> </w:t>
      </w:r>
      <w:r>
        <w:rPr>
          <w:b/>
          <w:bCs/>
        </w:rPr>
        <w:t xml:space="preserve">Companion to:</w:t>
      </w:r>
      <w:r>
        <w:t xml:space="preserve"> </w:t>
      </w:r>
      <w:hyperlink r:id="rId9">
        <w:r>
          <w:rPr>
            <w:rStyle w:val="Hyperlink"/>
          </w:rPr>
          <w:t xml:space="preserve">MELISA_PILOT_ZERO_DEPLOYMENT_RUNBOOK.md</w:t>
        </w:r>
      </w:hyperlink>
      <w:r>
        <w:t xml:space="preserve"> </w:t>
      </w:r>
      <w:r>
        <w:t xml:space="preserve">(Shape A · separate deploy).</w:t>
      </w:r>
    </w:p>
    <w:p>
      <w:pPr>
        <w:pStyle w:val="BodyText"/>
      </w:pPr>
      <w:r>
        <w:t xml:space="preserve">Use this checklist when onboarding a new tenant to the shared multi-tenant platform (Shape B · single-deploy, multiple tenants). Shape A separate-deploy pattern from the Melisa runbook is still valid for pilot zero; Shape B is what unlocks partners #2 and beyond.</w:t>
      </w:r>
    </w:p>
    <w:p>
      <w:pPr>
        <w:pStyle w:val="BodyText"/>
      </w:pPr>
      <w:r>
        <w:t xml:space="preserve">Phase 2 pipeline shipped 2026-07-02 across commits</w:t>
      </w:r>
      <w:r>
        <w:t xml:space="preserve"> </w:t>
      </w:r>
      <w:r>
        <w:rPr>
          <w:rStyle w:val="VerbatimChar"/>
        </w:rPr>
        <w:t xml:space="preserve">cc7d05c6 · 239655d0 · 213c109d · 31303127 · 86372a33 · 07119254 · f31a990e · 851091e3</w:t>
      </w:r>
      <w:r>
        <w:t xml:space="preserve">. See</w:t>
      </w:r>
      <w:r>
        <w:t xml:space="preserve"> </w:t>
      </w:r>
      <w:r>
        <w:rPr>
          <w:rStyle w:val="VerbatimChar"/>
        </w:rPr>
        <w:t xml:space="preserve">src/lib/tenant-resolver.ts</w:t>
      </w:r>
      <w:r>
        <w:t xml:space="preserve"> </w:t>
      </w:r>
      <w:r>
        <w:t xml:space="preserve">inline documentation for architecture.</w:t>
      </w:r>
    </w:p>
    <w:p>
      <w:pPr>
        <w:pStyle w:val="BodyText"/>
      </w:pPr>
      <w:r>
        <w:rPr>
          <w:b/>
          <w:bCs/>
        </w:rPr>
        <w:t xml:space="preserve">2026-07-03 surgical brand de-hardcode (commit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c8bc00bc</w:t>
      </w:r>
      <w:r>
        <w:rPr>
          <w:b/>
          <w:bCs/>
        </w:rPr>
        <w:t xml:space="preserve">).</w:t>
      </w:r>
      <w:r>
        <w:t xml:space="preserve"> </w:t>
      </w:r>
      <w:r>
        <w:t xml:space="preserve">Four tenant-illusion-breaking JSX/HTML sites now route through</w:t>
      </w:r>
      <w:r>
        <w:t xml:space="preserve"> </w:t>
      </w:r>
      <w:r>
        <w:rPr>
          <w:rStyle w:val="VerbatimChar"/>
        </w:rPr>
        <w:t xml:space="preserve">brand()</w:t>
      </w:r>
      <w:r>
        <w:t xml:space="preserve"> </w:t>
      </w:r>
      <w:r>
        <w:t xml:space="preserve">instead of hardcoded</w:t>
      </w:r>
      <w:r>
        <w:t xml:space="preserve"> </w:t>
      </w:r>
      <w:r>
        <w:t xml:space="preserve">“Body Recode”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src/app/dashboard/layout.tsx</w:t>
      </w:r>
      <w:r>
        <w:t xml:space="preserve"> </w:t>
      </w:r>
      <w:r>
        <w:t xml:space="preserve">— coach dashboard header (name + auto-derived badge initials)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src/app/payment-success/page.tsx</w:t>
      </w:r>
      <w:r>
        <w:t xml:space="preserve"> </w:t>
      </w:r>
      <w:r>
        <w:t xml:space="preserve">— client-facing after Stripe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src/app/client/[token]/page.tsx</w:t>
      </w:r>
      <w:r>
        <w:t xml:space="preserve"> </w:t>
      </w:r>
      <w:r>
        <w:t xml:space="preserve">— client portal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src/app/api/coach/approve-checkin-response/route.ts</w:t>
      </w:r>
      <w:r>
        <w:t xml:space="preserve"> </w:t>
      </w:r>
      <w:r>
        <w:t xml:space="preserve">— HTML status page returned when a coach clicks Approve</w:t>
      </w:r>
    </w:p>
    <w:p>
      <w:pPr>
        <w:pStyle w:val="BodyText"/>
      </w:pPr>
      <w:r>
        <w:rPr>
          <w:b/>
          <w:bCs/>
        </w:rPr>
        <w:t xml:space="preserve">2026-07-03 full de-hardcode pass (commit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b51abc89</w:t>
      </w:r>
      <w:r>
        <w:rPr>
          <w:b/>
          <w:bCs/>
        </w:rPr>
        <w:t xml:space="preserve">).</w:t>
      </w:r>
      <w:r>
        <w:t xml:space="preserve"> </w:t>
      </w:r>
      <w:r>
        <w:t xml:space="preserve">Codemod-driven — 278 mutations across 100 files. Routes exact</w:t>
      </w:r>
      <w:r>
        <w:t xml:space="preserve"> </w:t>
      </w:r>
      <w:r>
        <w:rPr>
          <w:rStyle w:val="VerbatimChar"/>
        </w:rPr>
        <w:t xml:space="preserve">Body Recode</w:t>
      </w:r>
      <w:r>
        <w:t xml:space="preserve"> </w:t>
      </w:r>
      <w:r>
        <w:t xml:space="preserve">JSX text + string literals + logo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attributes through</w:t>
      </w:r>
      <w:r>
        <w:t xml:space="preserve"> </w:t>
      </w:r>
      <w:r>
        <w:rPr>
          <w:rStyle w:val="VerbatimChar"/>
        </w:rPr>
        <w:t xml:space="preserve">brand().name</w:t>
      </w:r>
      <w:r>
        <w:t xml:space="preserve">, and remaining email addresses / URLs through</w:t>
      </w:r>
      <w:r>
        <w:t xml:space="preserve"> </w:t>
      </w:r>
      <w:r>
        <w:rPr>
          <w:rStyle w:val="VerbatimChar"/>
        </w:rPr>
        <w:t xml:space="preserve">coach()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brand()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appUrl()</w:t>
      </w:r>
      <w:r>
        <w:t xml:space="preserve">. Kade-only dashboards + help guide skipped (they reference BR as one of Kade’s 5 brands, not the current tenant). Deferred (post-pilot): compound brand strings like</w:t>
      </w:r>
      <w:r>
        <w:t xml:space="preserve"> </w:t>
      </w:r>
      <w:r>
        <w:t xml:space="preserve">“Body Recode Performance Coaching”</w:t>
      </w:r>
      <w:r>
        <w:t xml:space="preserve"> </w:t>
      </w:r>
      <w:r>
        <w:t xml:space="preserve">and</w:t>
      </w:r>
      <w:r>
        <w:t xml:space="preserve"> </w:t>
      </w:r>
      <w:r>
        <w:t xml:space="preserve">“Body Recode Playbook”</w:t>
      </w:r>
      <w:r>
        <w:t xml:space="preserve"> </w:t>
      </w:r>
      <w:r>
        <w:t xml:space="preserve">— these need per-string decisions on whether they’re product names (keep) vs tenant-swappable text.</w:t>
      </w:r>
    </w:p>
    <w:p>
      <w:pPr>
        <w:pStyle w:val="BodyText"/>
      </w:pPr>
      <w:r>
        <w:rPr>
          <w:b/>
          <w:bCs/>
        </w:rPr>
        <w:t xml:space="preserve">2026-07-03 custom domain support (commit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22f3acf9</w:t>
      </w:r>
      <w:r>
        <w:rPr>
          <w:b/>
          <w:bCs/>
        </w:rPr>
        <w:t xml:space="preserve">).</w:t>
      </w:r>
      <w:r>
        <w:t xml:space="preserve"> </w:t>
      </w:r>
      <w:r>
        <w:t xml:space="preserve">New</w:t>
      </w:r>
      <w:r>
        <w:t xml:space="preserve"> </w:t>
      </w:r>
      <w:r>
        <w:rPr>
          <w:rStyle w:val="VerbatimChar"/>
        </w:rPr>
        <w:t xml:space="preserve">tenant_domains</w:t>
      </w:r>
      <w:r>
        <w:t xml:space="preserve"> </w:t>
      </w:r>
      <w:r>
        <w:t xml:space="preserve">table (schema at</w:t>
      </w:r>
      <w:r>
        <w:t xml:space="preserve"> </w:t>
      </w:r>
      <w:r>
        <w:rPr>
          <w:rStyle w:val="VerbatimChar"/>
        </w:rPr>
        <w:t xml:space="preserve">~/Dropbox/01_BODY_RECODE/06_SAAS_PLATFORM_BUILD/sql/2026-07-03_tenant_domains_schema.sql</w:t>
      </w:r>
      <w:r>
        <w:t xml:space="preserve">, applied). Resolver extended with</w:t>
      </w:r>
      <w:r>
        <w:t xml:space="preserve"> </w:t>
      </w:r>
      <w:r>
        <w:rPr>
          <w:rStyle w:val="VerbatimChar"/>
        </w:rPr>
        <w:t xml:space="preserve">NEXT_PUBLIC_TENANT_DOMAIN_MAP</w:t>
      </w:r>
      <w:r>
        <w:t xml:space="preserve"> </w:t>
      </w:r>
      <w:r>
        <w:t xml:space="preserve">env var fast-path for edge middleware.</w:t>
      </w:r>
      <w:r>
        <w:t xml:space="preserve"> </w:t>
      </w:r>
      <w:r>
        <w:rPr>
          <w:rStyle w:val="VerbatimChar"/>
        </w:rPr>
        <w:t xml:space="preserve">/api/tenant/domains</w:t>
      </w:r>
      <w:r>
        <w:t xml:space="preserve"> </w:t>
      </w:r>
      <w:r>
        <w:t xml:space="preserve">GET/POST/DELETE + new domains section in</w:t>
      </w:r>
      <w:r>
        <w:t xml:space="preserve"> </w:t>
      </w:r>
      <w:r>
        <w:rPr>
          <w:rStyle w:val="VerbatimChar"/>
        </w:rPr>
        <w:t xml:space="preserve">/dashboard/settings/tenant</w:t>
      </w:r>
      <w:r>
        <w:t xml:space="preserve">. Add-a-domain flow returns the env var line ready for copy-paste into Vercel.</w:t>
      </w:r>
    </w:p>
    <w:p>
      <w:pPr>
        <w:pStyle w:val="BodyText"/>
      </w:pPr>
      <w:r>
        <w:rPr>
          <w:b/>
          <w:bCs/>
        </w:rPr>
        <w:t xml:space="preserve">2026-07-03 Stripe Connect foundation (commit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17da8ffd</w:t>
      </w:r>
      <w:r>
        <w:rPr>
          <w:b/>
          <w:bCs/>
        </w:rPr>
        <w:t xml:space="preserve">).</w:t>
      </w:r>
      <w:r>
        <w:t xml:space="preserve"> </w:t>
      </w:r>
      <w:r>
        <w:t xml:space="preserve">Phase 3 kickoff.</w:t>
      </w:r>
      <w:r>
        <w:t xml:space="preserve"> </w:t>
      </w:r>
      <w:r>
        <w:rPr>
          <w:rStyle w:val="VerbatimChar"/>
        </w:rPr>
        <w:t xml:space="preserve">TenantConfig.licence</w:t>
      </w:r>
      <w:r>
        <w:t xml:space="preserve"> </w:t>
      </w:r>
      <w:r>
        <w:t xml:space="preserve">gains optional</w:t>
      </w:r>
      <w:r>
        <w:t xml:space="preserve"> </w:t>
      </w:r>
      <w:r>
        <w:rPr>
          <w:rStyle w:val="VerbatimChar"/>
        </w:rPr>
        <w:t xml:space="preserve">stripeAccountId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stripeAccountStatus</w:t>
      </w:r>
      <w:r>
        <w:t xml:space="preserve">. Helpers at</w:t>
      </w:r>
      <w:r>
        <w:t xml:space="preserve"> </w:t>
      </w:r>
      <w:r>
        <w:rPr>
          <w:rStyle w:val="VerbatimChar"/>
        </w:rPr>
        <w:t xml:space="preserve">src/lib/tenant-stripe.ts</w:t>
      </w:r>
      <w:r>
        <w:t xml:space="preserve">. Onboarding endpoints: POST</w:t>
      </w:r>
      <w:r>
        <w:t xml:space="preserve"> </w:t>
      </w:r>
      <w:r>
        <w:rPr>
          <w:rStyle w:val="VerbatimChar"/>
        </w:rPr>
        <w:t xml:space="preserve">/api/tenant/stripe/onboard</w:t>
      </w:r>
      <w:r>
        <w:t xml:space="preserve"> </w:t>
      </w:r>
      <w:r>
        <w:t xml:space="preserve">(creates Standard account + AccountLink) + GET</w:t>
      </w:r>
      <w:r>
        <w:t xml:space="preserve"> </w:t>
      </w:r>
      <w:r>
        <w:rPr>
          <w:rStyle w:val="VerbatimChar"/>
        </w:rPr>
        <w:t xml:space="preserve">/api/tenant/stripe/callback</w:t>
      </w:r>
      <w:r>
        <w:t xml:space="preserve"> </w:t>
      </w:r>
      <w:r>
        <w:t xml:space="preserve">(polls status). StripeConnectSection in tenant settings UI.</w:t>
      </w:r>
      <w:r>
        <w:t xml:space="preserve"> </w:t>
      </w:r>
      <w:r>
        <w:rPr>
          <w:b/>
          <w:bCs/>
        </w:rPr>
        <w:t xml:space="preserve">BR path untouched</w:t>
      </w:r>
      <w:r>
        <w:t xml:space="preserve"> </w:t>
      </w:r>
      <w:r>
        <w:t xml:space="preserve">— all 15 existing checkout callsites keep using</w:t>
      </w:r>
      <w:r>
        <w:t xml:space="preserve"> </w:t>
      </w:r>
      <w:r>
        <w:rPr>
          <w:rStyle w:val="VerbatimChar"/>
        </w:rPr>
        <w:t xml:space="preserve">process.env.STRIPE_SECRET_KEY</w:t>
      </w:r>
      <w:r>
        <w:t xml:space="preserve"> </w:t>
      </w:r>
      <w:r>
        <w:t xml:space="preserve">directly. Deferred: per-callsite refactor to route charges to tenant Connect accounts (needs per-flow decisions on platform vs tenant billing) +</w:t>
      </w:r>
      <w:r>
        <w:t xml:space="preserve"> </w:t>
      </w:r>
      <w:r>
        <w:rPr>
          <w:rStyle w:val="VerbatimChar"/>
        </w:rPr>
        <w:t xml:space="preserve">/api/webhooks/stripe/connect</w:t>
      </w:r>
      <w:r>
        <w:t xml:space="preserve"> </w:t>
      </w:r>
      <w:r>
        <w:t xml:space="preserve">for Connect account events.</w:t>
      </w:r>
    </w:p>
    <w:p>
      <w:r>
        <w:pict>
          <v:rect style="width:0;height:1.5pt" o:hralign="center" o:hrstd="t" o:hr="t"/>
        </w:pict>
      </w:r>
    </w:p>
    <w:bookmarkStart w:id="10" w:name="X7a59a722d3ddc7bfc0780c49cdddee8c8b619e5"/>
    <w:p>
      <w:pPr>
        <w:pStyle w:val="Heading2"/>
      </w:pPr>
      <w:r>
        <w:t xml:space="preserve">Wk 27 shipping update (2026-07-04 → 2026-07-05)</w:t>
      </w:r>
    </w:p>
    <w:p>
      <w:pPr>
        <w:pStyle w:val="FirstParagraph"/>
      </w:pPr>
      <w:r>
        <w:rPr>
          <w:b/>
          <w:bCs/>
        </w:rPr>
        <w:t xml:space="preserve">2026-07-04 Speed-to-lead SMS pipeline (commit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283e0932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6df4da3c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a52c2afc</w:t>
      </w:r>
      <w:r>
        <w:rPr>
          <w:b/>
          <w:bCs/>
        </w:rPr>
        <w:t xml:space="preserve">).</w:t>
      </w:r>
      <w:r>
        <w:t xml:space="preserve"> </w:t>
      </w:r>
      <w:r>
        <w:t xml:space="preserve">Aussie Spam Act 2003 compliant SMS pipeline triggered on scorecard completion, challenge enrolment, and waitlist join. Opt-in guarded, frequency capped (1/24h + 3/7d), AEST-window aware. STOP handling via</w:t>
      </w:r>
      <w:r>
        <w:t xml:space="preserve"> </w:t>
      </w:r>
      <w:r>
        <w:rPr>
          <w:rStyle w:val="VerbatimChar"/>
        </w:rPr>
        <w:t xml:space="preserve">/api/webhooks/twilio/inbound</w:t>
      </w:r>
      <w:r>
        <w:t xml:space="preserve">. Dashboard at</w:t>
      </w:r>
      <w:r>
        <w:t xml:space="preserve"> </w:t>
      </w:r>
      <w:r>
        <w:rPr>
          <w:rStyle w:val="VerbatimChar"/>
        </w:rPr>
        <w:t xml:space="preserve">/dashboard/sms</w:t>
      </w:r>
      <w:r>
        <w:t xml:space="preserve">. Templates read from</w:t>
      </w:r>
      <w:r>
        <w:t xml:space="preserve"> </w:t>
      </w:r>
      <w:r>
        <w:rPr>
          <w:rStyle w:val="VerbatimChar"/>
        </w:rPr>
        <w:t xml:space="preserve">coach()</w:t>
      </w:r>
      <w:r>
        <w:t xml:space="preserve">/</w:t>
      </w:r>
      <w:r>
        <w:rPr>
          <w:rStyle w:val="VerbatimChar"/>
        </w:rPr>
        <w:t xml:space="preserve">brand()</w:t>
      </w:r>
      <w:r>
        <w:t xml:space="preserve"> </w:t>
      </w:r>
      <w:r>
        <w:t xml:space="preserve">for tenant-aware voice.</w:t>
      </w:r>
    </w:p>
    <w:p>
      <w:pPr>
        <w:pStyle w:val="BodyText"/>
      </w:pPr>
      <w:r>
        <w:rPr>
          <w:b/>
          <w:bCs/>
        </w:rPr>
        <w:t xml:space="preserve">2026-07-05 Per-tenant Twilio Subaccount routing (commit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f1bdd32f</w:t>
      </w:r>
      <w:r>
        <w:rPr>
          <w:b/>
          <w:bCs/>
        </w:rPr>
        <w:t xml:space="preserve">).</w:t>
      </w:r>
      <w:r>
        <w:t xml:space="preserve"> </w:t>
      </w:r>
      <w:r>
        <w:rPr>
          <w:rStyle w:val="VerbatimChar"/>
        </w:rPr>
        <w:t xml:space="preserve">sendSms()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licence.twilioSubaccountSid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licence.twilioMessagingServiceSid</w:t>
      </w:r>
      <w:r>
        <w:t xml:space="preserve"> </w:t>
      </w:r>
      <w:r>
        <w:t xml:space="preserve">from tenant config; routes SMS through the tenant’s own AU number when set. Falls back to platform Twilio otherwise. Founding-Ten scale onwards — inbound webhook routing still shared for now.</w:t>
      </w:r>
    </w:p>
    <w:p>
      <w:pPr>
        <w:pStyle w:val="BodyText"/>
      </w:pPr>
      <w:r>
        <w:rPr>
          <w:b/>
          <w:bCs/>
        </w:rPr>
        <w:t xml:space="preserve">2026-07-05 Purchase + no-show SMS triggers (commit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f6fee35c</w:t>
      </w:r>
      <w:r>
        <w:rPr>
          <w:b/>
          <w:bCs/>
        </w:rPr>
        <w:t xml:space="preserve">).</w:t>
      </w:r>
      <w:r>
        <w:t xml:space="preserve"> </w:t>
      </w:r>
      <w:r>
        <w:t xml:space="preserve">Extends speed-to-lead: Stripe report checkout fires</w:t>
      </w:r>
      <w:r>
        <w:t xml:space="preserve"> </w:t>
      </w:r>
      <w:r>
        <w:rPr>
          <w:rStyle w:val="VerbatimChar"/>
        </w:rPr>
        <w:t xml:space="preserve">purchase/report</w:t>
      </w:r>
      <w:r>
        <w:t xml:space="preserve"> </w:t>
      </w:r>
      <w:r>
        <w:t xml:space="preserve">with 30s delay to SMS;</w:t>
      </w:r>
      <w:r>
        <w:t xml:space="preserve"> </w:t>
      </w:r>
      <w:r>
        <w:rPr>
          <w:rStyle w:val="VerbatimChar"/>
        </w:rPr>
        <w:t xml:space="preserve">/api/leads/[id]/send-booking-confirmation</w:t>
      </w:r>
      <w:r>
        <w:t xml:space="preserve"> </w:t>
      </w:r>
      <w:r>
        <w:t xml:space="preserve">fires</w:t>
      </w:r>
      <w:r>
        <w:t xml:space="preserve"> </w:t>
      </w:r>
      <w:r>
        <w:rPr>
          <w:rStyle w:val="VerbatimChar"/>
        </w:rPr>
        <w:t xml:space="preserve">booking/scheduled</w:t>
      </w:r>
      <w:r>
        <w:t xml:space="preserve"> </w:t>
      </w:r>
      <w:r>
        <w:t xml:space="preserve">and Inngest sleeps until scheduled + 30 min then sends the no-show SMS if lead status is still</w:t>
      </w:r>
      <w:r>
        <w:t xml:space="preserve"> </w:t>
      </w:r>
      <w:r>
        <w:rPr>
          <w:rStyle w:val="VerbatimChar"/>
        </w:rPr>
        <w:t xml:space="preserve">zoom_1_booked</w:t>
      </w:r>
      <w:r>
        <w:t xml:space="preserve">. Function count 15 → 17.</w:t>
      </w:r>
    </w:p>
    <w:p>
      <w:pPr>
        <w:pStyle w:val="BodyText"/>
      </w:pPr>
      <w:r>
        <w:rPr>
          <w:b/>
          <w:bCs/>
        </w:rPr>
        <w:t xml:space="preserve">2026-07-05 Kade’s billing of partners v1 (commit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f5ca8424</w:t>
      </w:r>
      <w:r>
        <w:rPr>
          <w:b/>
          <w:bCs/>
        </w:rPr>
        <w:t xml:space="preserve">).</w:t>
      </w:r>
      <w:r>
        <w:t xml:space="preserve"> </w:t>
      </w:r>
      <w:r>
        <w:t xml:space="preserve">Collective Partner Agreement §6 tracked.</w:t>
      </w:r>
      <w:r>
        <w:t xml:space="preserve"> </w:t>
      </w:r>
      <w:r>
        <w:rPr>
          <w:rStyle w:val="VerbatimChar"/>
        </w:rPr>
        <w:t xml:space="preserve">licence.partnerBilling</w:t>
      </w:r>
      <w:r>
        <w:t xml:space="preserve"> </w:t>
      </w:r>
      <w:r>
        <w:t xml:space="preserve">extends tenant config with tier + locked prices + Stripe customer/sub + setup fee lifecycle. Monthly Inngest cron</w:t>
      </w:r>
      <w:r>
        <w:t xml:space="preserve"> </w:t>
      </w:r>
      <w:r>
        <w:rPr>
          <w:rStyle w:val="VerbatimChar"/>
        </w:rPr>
        <w:t xml:space="preserve">partner-active-client-counter</w:t>
      </w:r>
      <w:r>
        <w:t xml:space="preserve"> </w:t>
      </w:r>
      <w:r>
        <w:t xml:space="preserve">computes Active Client counts per Agreement §1 definition (function count 17 → 18). Admin dashboard at</w:t>
      </w:r>
      <w:r>
        <w:t xml:space="preserve"> </w:t>
      </w:r>
      <w:r>
        <w:rPr>
          <w:rStyle w:val="VerbatimChar"/>
        </w:rPr>
        <w:t xml:space="preserve">/dashboard/settings/partner-billing</w:t>
      </w:r>
      <w:r>
        <w:t xml:space="preserve">. v1 is manual invoicing via Stripe dashboard; v2 auto-invoicing queued.</w:t>
      </w:r>
    </w:p>
    <w:p>
      <w:pPr>
        <w:pStyle w:val="BodyText"/>
      </w:pPr>
      <w:r>
        <w:rPr>
          <w:b/>
          <w:bCs/>
        </w:rPr>
        <w:t xml:space="preserve">2026-07-05 Collective Partner Agreement + IP Licence Deed v0.1 drafts (commit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c7416819</w:t>
      </w:r>
      <w:r>
        <w:rPr>
          <w:b/>
          <w:bCs/>
        </w:rPr>
        <w:t xml:space="preserve">).</w:t>
      </w:r>
      <w:r>
        <w:t xml:space="preserve"> </w:t>
      </w:r>
      <w:r>
        <w:t xml:space="preserve">Full commercial contract (~10 pages, 17 clauses + 5 schedules) + companion IP licence executed as a deed (~6 pages, 11 clauses + 2 schedules) + generic cover note for legal reviewer + README. Bundled to</w:t>
      </w:r>
      <w:r>
        <w:t xml:space="preserve"> </w:t>
      </w:r>
      <w:r>
        <w:rPr>
          <w:rStyle w:val="VerbatimChar"/>
        </w:rPr>
        <w:t xml:space="preserve">public/docs/saas-buildout/founding-ten/legal/</w:t>
      </w:r>
      <w:r>
        <w:t xml:space="preserve"> </w:t>
      </w:r>
      <w:r>
        <w:t xml:space="preserve">in .md + .docx + Collective-branded .pdf. Awaiting external lawyer review. Manifest step flipped to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2026-07-05 Stripe callsite refactor pattern (commit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2b244252</w:t>
      </w:r>
      <w:r>
        <w:rPr>
          <w:b/>
          <w:bCs/>
        </w:rPr>
        <w:t xml:space="preserve">).</w:t>
      </w:r>
      <w:r>
        <w:t xml:space="preserve"> </w:t>
      </w:r>
      <w:r>
        <w:rPr>
          <w:rStyle w:val="VerbatimChar"/>
        </w:rPr>
        <w:t xml:space="preserve">createTenantAwareCheckoutSession()</w:t>
      </w:r>
      <w:r>
        <w:t xml:space="preserve"> </w:t>
      </w:r>
      <w:r>
        <w:t xml:space="preserve">helper wraps</w:t>
      </w:r>
      <w:r>
        <w:t xml:space="preserve"> </w:t>
      </w:r>
      <w:r>
        <w:rPr>
          <w:rStyle w:val="VerbatimChar"/>
        </w:rPr>
        <w:t xml:space="preserve">stripe.checkout.sessions.create()</w:t>
      </w:r>
      <w:r>
        <w:t xml:space="preserve"> </w:t>
      </w:r>
      <w:r>
        <w:t xml:space="preserve">with tenant-aware routing (Direct Charges when</w:t>
      </w:r>
      <w:r>
        <w:t xml:space="preserve"> </w:t>
      </w:r>
      <w:r>
        <w:rPr>
          <w:rStyle w:val="VerbatimChar"/>
        </w:rPr>
        <w:t xml:space="preserve">licence.stripeAccountId</w:t>
      </w:r>
      <w:r>
        <w:t xml:space="preserve"> </w:t>
      </w:r>
      <w:r>
        <w:t xml:space="preserve">active, platform otherwise). One representative low-risk callsite refactored (</w:t>
      </w:r>
      <w:r>
        <w:rPr>
          <w:rStyle w:val="VerbatimChar"/>
        </w:rPr>
        <w:t xml:space="preserve">send-commencement-fee</w:t>
      </w:r>
      <w:r>
        <w:t xml:space="preserve">) as the reference. Remaining 14 callsites deliberately deferred to post-Funnel B launch — pattern is proven, execution is a per-callsite decision each carrying launch risk.</w:t>
      </w:r>
    </w:p>
    <w:p>
      <w:pPr>
        <w:pStyle w:val="BodyText"/>
      </w:pPr>
      <w:r>
        <w:rPr>
          <w:b/>
          <w:bCs/>
        </w:rPr>
        <w:t xml:space="preserve">2026-07-05 Doctrine parameters Mode A+ (commit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7f3bae5a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a6386b9f</w:t>
      </w:r>
      <w:r>
        <w:rPr>
          <w:b/>
          <w:bCs/>
        </w:rPr>
        <w:t xml:space="preserve">).</w:t>
      </w:r>
      <w:r>
        <w:t xml:space="preserve"> </w:t>
      </w:r>
      <w:r>
        <w:t xml:space="preserve">Middle ground between Mode A (BR doctrine unchanged) and Mode B (method injection, post-Founding-Ten).</w:t>
      </w:r>
      <w:r>
        <w:t xml:space="preserve"> </w:t>
      </w:r>
      <w:r>
        <w:rPr>
          <w:rStyle w:val="VerbatimChar"/>
        </w:rPr>
        <w:t xml:space="preserve">licence.doctrineParameters</w:t>
      </w:r>
      <w:r>
        <w:t xml:space="preserve"> </w:t>
      </w:r>
      <w:r>
        <w:t xml:space="preserve">extends tenant config with</w:t>
      </w:r>
      <w:r>
        <w:t xml:space="preserve"> </w:t>
      </w:r>
      <w:r>
        <w:rPr>
          <w:rStyle w:val="VerbatimChar"/>
        </w:rPr>
        <w:t xml:space="preserve">voiceTone</w:t>
      </w:r>
      <w:r>
        <w:t xml:space="preserve">,</w:t>
      </w:r>
      <w:r>
        <w:t xml:space="preserve"> </w:t>
      </w:r>
      <w:r>
        <w:rPr>
          <w:rStyle w:val="VerbatimChar"/>
        </w:rPr>
        <w:t xml:space="preserve">bannedPhrases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terminologySubstitutions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checkinCoachingGuidance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programGenerationGuidance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nutritionGenerationGuidance</w:t>
      </w:r>
      <w:r>
        <w:t xml:space="preserve">. Editor UI in tenant settings. First generator consumer wired (weekly check-in feedback). Hard Safety Floors remain immutable per Agreement §7. Consumer wiring for nutrition/program readings is incremental post-launch.</w:t>
      </w:r>
    </w:p>
    <w:p>
      <w:pPr>
        <w:pStyle w:val="BodyText"/>
      </w:pPr>
      <w:r>
        <w:rPr>
          <w:b/>
          <w:bCs/>
        </w:rPr>
        <w:t xml:space="preserve">2026-07-05 Melisa tenant seed pre-built (commit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61ef3b84</w:t>
      </w:r>
      <w:r>
        <w:rPr>
          <w:b/>
          <w:bCs/>
        </w:rPr>
        <w:t xml:space="preserve">).</w:t>
      </w:r>
      <w:r>
        <w:t xml:space="preserve"> </w:t>
      </w:r>
      <w:r>
        <w:t xml:space="preserve">Ready-to-run SQL at</w:t>
      </w:r>
      <w:r>
        <w:t xml:space="preserve"> </w:t>
      </w:r>
      <w:r>
        <w:rPr>
          <w:rStyle w:val="VerbatimChar"/>
        </w:rPr>
        <w:t xml:space="preserve">~/Dropbox/01_BODY_RECODE/06_SAAS_PLATFORM_BUILD/sql/2026-07-05_melisa_seed.sql</w:t>
      </w:r>
      <w:r>
        <w:t xml:space="preserve">. the Collective Launch tier defaults ($2,500 setup / $400 monthly locked / $20 per active client), yoga modality, doctrine parameters pre-tuned for warm/grounded/breath-forward voice. Fill 8 placeholders + run. Melisa provisioning step flipped to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 </w:t>
      </w:r>
      <w:r>
        <w:t xml:space="preserve">in manifest.</w:t>
      </w:r>
    </w:p>
    <w:p>
      <w:pPr>
        <w:pStyle w:val="BodyText"/>
      </w:pPr>
      <w:r>
        <w:rPr>
          <w:b/>
          <w:bCs/>
        </w:rPr>
        <w:t xml:space="preserve">2026-07-05 Launch readiness check extended (commit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7ea9aef2</w:t>
      </w:r>
      <w:r>
        <w:rPr>
          <w:b/>
          <w:bCs/>
        </w:rPr>
        <w:t xml:space="preserve">).</w:t>
      </w:r>
      <w:r>
        <w:t xml:space="preserve"> </w:t>
      </w:r>
      <w:r>
        <w:rPr>
          <w:rStyle w:val="VerbatimChar"/>
        </w:rPr>
        <w:t xml:space="preserve">scripts/check-launch-readiness.ts</w:t>
      </w:r>
      <w:r>
        <w:t xml:space="preserve"> </w:t>
      </w:r>
      <w:r>
        <w:t xml:space="preserve">gains sections 6 (Inngest + SMS pipeline) + 7 (SaaS / partner billing pipeline). 12 new checks validate Inngest function count = 18, Twilio env vars, sms_logs/leads.sms_opt_in_at/partner_active_client_counts/tenant_config/tenant_domains tables. Kade runs Sun 12 Jul evening for the launch-eve go/no-go.</w:t>
      </w:r>
    </w:p>
    <w:p>
      <w:pPr>
        <w:pStyle w:val="BodyText"/>
      </w:pPr>
      <w:r>
        <w:rPr>
          <w:b/>
          <w:bCs/>
        </w:rPr>
        <w:t xml:space="preserve">2026-07-05 Help guide 17g Partner Billing + 17h Doctrine Parameters (commit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a70a4cf9</w:t>
      </w:r>
      <w:r>
        <w:rPr>
          <w:b/>
          <w:bCs/>
        </w:rPr>
        <w:t xml:space="preserve">).</w:t>
      </w:r>
      <w:r>
        <w:t xml:space="preserve"> </w:t>
      </w:r>
      <w:r>
        <w:t xml:space="preserve">Coach-facing docs for both new admin surfaces.</w:t>
      </w:r>
    </w:p>
    <w:p>
      <w:pPr>
        <w:pStyle w:val="BodyText"/>
      </w:pPr>
      <w:r>
        <w:rPr>
          <w:b/>
          <w:bCs/>
        </w:rPr>
        <w:t xml:space="preserve">Function count summary.</w:t>
      </w:r>
      <w:r>
        <w:t xml:space="preserve"> </w:t>
      </w:r>
      <w:r>
        <w:t xml:space="preserve">Inngest went 12 → 18 across this window (added: 3 speed-to-lead functions + purchase + no-show + partner-active-client-counter monthly cron).</w:t>
      </w:r>
      <w:r>
        <w:t xml:space="preserve"> </w:t>
      </w:r>
      <w:r>
        <w:rPr>
          <w:rStyle w:val="VerbatimChar"/>
        </w:rPr>
        <w:t xml:space="preserve">EXPECTED_INNGEST_FUNCTION_COUNT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daily-health-check</w:t>
      </w:r>
      <w:r>
        <w:t xml:space="preserve"> </w:t>
      </w:r>
      <w:r>
        <w:t xml:space="preserve">route reflects current.</w:t>
      </w:r>
      <w:r>
        <w:t xml:space="preserve"> </w:t>
      </w:r>
      <w:r>
        <w:rPr>
          <w:b/>
          <w:bCs/>
        </w:rPr>
        <w:t xml:space="preserve">Kade must Resync in Inngest cloud</w:t>
      </w:r>
      <w:r>
        <w:t xml:space="preserve"> </w:t>
      </w:r>
      <w:r>
        <w:t xml:space="preserve">after each new-function commit or the functions register in code but not in cloud (silent-fail class).</w:t>
      </w:r>
    </w:p>
    <w:p>
      <w:r>
        <w:pict>
          <v:rect style="width:0;height:1.5pt" o:hralign="center" o:hrstd="t" o:hr="t"/>
        </w:pict>
      </w:r>
    </w:p>
    <w:bookmarkEnd w:id="10"/>
    <w:bookmarkStart w:id="11" w:name="pre-flight"/>
    <w:p>
      <w:pPr>
        <w:pStyle w:val="Heading2"/>
      </w:pPr>
      <w:r>
        <w:t xml:space="preserve">Pre-flight</w:t>
      </w:r>
    </w:p>
    <w:p>
      <w:pPr>
        <w:pStyle w:val="Compact"/>
        <w:numPr>
          <w:ilvl w:val="0"/>
          <w:numId w:val="1001"/>
        </w:numPr>
      </w:pPr>
      <w:r>
        <w:t xml:space="preserve">Tenant signed the licence agreement + paid setup deposit (per PARTNER_JOURNEY Stage 3)</w:t>
      </w:r>
    </w:p>
    <w:p>
      <w:pPr>
        <w:pStyle w:val="Compact"/>
        <w:numPr>
          <w:ilvl w:val="0"/>
          <w:numId w:val="1002"/>
        </w:numPr>
      </w:pPr>
      <w:r>
        <w:t xml:space="preserve">Business name locked (used as</w:t>
      </w:r>
      <w:r>
        <w:t xml:space="preserve"> </w:t>
      </w:r>
      <w:r>
        <w:rPr>
          <w:rStyle w:val="VerbatimChar"/>
        </w:rPr>
        <w:t xml:space="preserve">brand.name</w:t>
      </w:r>
      <w:r>
        <w:t xml:space="preserve"> </w:t>
      </w:r>
      <w:r>
        <w:t xml:space="preserve">+ auto-derived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Modality confirmed (strength or yoga — the built modality packs)</w:t>
      </w:r>
    </w:p>
    <w:p>
      <w:pPr>
        <w:pStyle w:val="Compact"/>
        <w:numPr>
          <w:ilvl w:val="0"/>
          <w:numId w:val="1004"/>
        </w:numPr>
      </w:pPr>
      <w:r>
        <w:t xml:space="preserve">Brand assets in hand: logo (light + dark), accent color hex, tagline</w:t>
      </w:r>
    </w:p>
    <w:p>
      <w:pPr>
        <w:pStyle w:val="Compact"/>
        <w:numPr>
          <w:ilvl w:val="0"/>
          <w:numId w:val="1005"/>
        </w:numPr>
      </w:pPr>
      <w:r>
        <w:t xml:space="preserve">Domain: owned + DNS access confirmed</w:t>
      </w:r>
    </w:p>
    <w:p>
      <w:pPr>
        <w:pStyle w:val="Compact"/>
        <w:numPr>
          <w:ilvl w:val="0"/>
          <w:numId w:val="1006"/>
        </w:numPr>
      </w:pPr>
      <w:r>
        <w:t xml:space="preserve">Stripe account created for their business (separate from BR Stripe)</w:t>
      </w:r>
    </w:p>
    <w:p>
      <w:pPr>
        <w:pStyle w:val="Compact"/>
        <w:numPr>
          <w:ilvl w:val="0"/>
          <w:numId w:val="1007"/>
        </w:numPr>
      </w:pPr>
      <w:r>
        <w:t xml:space="preserve">Resend account configured with their sending domain (DKIM/SPF verified)</w:t>
      </w:r>
    </w:p>
    <w:bookmarkEnd w:id="11"/>
    <w:bookmarkStart w:id="12" w:name="step-1-provision-the-tenant"/>
    <w:p>
      <w:pPr>
        <w:pStyle w:val="Heading2"/>
      </w:pPr>
      <w:r>
        <w:t xml:space="preserve">Step 1 · Provision the tenant</w:t>
      </w:r>
    </w:p>
    <w:p>
      <w:pPr>
        <w:pStyle w:val="FirstParagraph"/>
      </w:pPr>
      <w:r>
        <w:rPr>
          <w:b/>
          <w:bCs/>
        </w:rPr>
        <w:t xml:space="preserve">Option A · Self-serve via /signup form (fastest)</w:t>
      </w:r>
    </w:p>
    <w:p>
      <w:pPr>
        <w:pStyle w:val="Compact"/>
        <w:numPr>
          <w:ilvl w:val="0"/>
          <w:numId w:val="1008"/>
        </w:numPr>
      </w:pPr>
      <w:r>
        <w:t xml:space="preserve">Direct tenant to</w:t>
      </w:r>
      <w:r>
        <w:t xml:space="preserve"> </w:t>
      </w:r>
      <w:r>
        <w:rPr>
          <w:rStyle w:val="VerbatimChar"/>
        </w:rPr>
        <w:t xml:space="preserve">https://bodyrecode.au/signup</w:t>
      </w:r>
    </w:p>
    <w:p>
      <w:pPr>
        <w:pStyle w:val="Compact"/>
        <w:numPr>
          <w:ilvl w:val="0"/>
          <w:numId w:val="1008"/>
        </w:numPr>
      </w:pPr>
      <w:r>
        <w:t xml:space="preserve">Fill in: full name, business name, email, password, modality</w:t>
      </w:r>
    </w:p>
    <w:p>
      <w:pPr>
        <w:pStyle w:val="Compact"/>
        <w:numPr>
          <w:ilvl w:val="0"/>
          <w:numId w:val="1008"/>
        </w:numPr>
      </w:pPr>
      <w:r>
        <w:t xml:space="preserve">Optional: custom tenant slug (auto-derived if blank)</w:t>
      </w:r>
    </w:p>
    <w:p>
      <w:pPr>
        <w:pStyle w:val="Compact"/>
        <w:numPr>
          <w:ilvl w:val="0"/>
          <w:numId w:val="1008"/>
        </w:numPr>
      </w:pPr>
      <w:r>
        <w:t xml:space="preserve">Submit → API creates auth user + tenant_config row with default values</w:t>
      </w:r>
    </w:p>
    <w:p>
      <w:pPr>
        <w:pStyle w:val="Compact"/>
        <w:numPr>
          <w:ilvl w:val="0"/>
          <w:numId w:val="1008"/>
        </w:numPr>
      </w:pPr>
      <w:r>
        <w:t xml:space="preserve">Confirmation screen shows their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coachId</w:t>
      </w:r>
    </w:p>
    <w:p>
      <w:pPr>
        <w:pStyle w:val="FirstParagraph"/>
      </w:pPr>
      <w:r>
        <w:rPr>
          <w:b/>
          <w:bCs/>
        </w:rPr>
        <w:t xml:space="preserve">Option B · Manual SQL provisioning (for special cases)</w:t>
      </w:r>
    </w:p>
    <w:p>
      <w:pPr>
        <w:pStyle w:val="BodyText"/>
      </w:pPr>
      <w:r>
        <w:t xml:space="preserve">Use the seed template at</w:t>
      </w:r>
      <w:r>
        <w:t xml:space="preserve"> </w:t>
      </w:r>
      <w:r>
        <w:rPr>
          <w:rStyle w:val="VerbatimChar"/>
        </w:rPr>
        <w:t xml:space="preserve">~/Dropbox/01_BODY_RECODE/06_SAAS_PLATFORM_BUILD/sql/TENANT_SEED_TEMPLATE.sql</w:t>
      </w:r>
      <w:r>
        <w:t xml:space="preserve"> </w:t>
      </w:r>
      <w:r>
        <w:t xml:space="preserve">— replace the placeholder values with the tenant’s data + run via</w:t>
      </w:r>
      <w:r>
        <w:t xml:space="preserve"> </w:t>
      </w:r>
      <w:r>
        <w:rPr>
          <w:rStyle w:val="VerbatimChar"/>
        </w:rPr>
        <w:t xml:space="preserve">supabase db query --linked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step-2-tenant-configures-their-brand"/>
    <w:p>
      <w:pPr>
        <w:pStyle w:val="Heading2"/>
      </w:pPr>
      <w:r>
        <w:t xml:space="preserve">Step 2 · Tenant configures their brand</w:t>
      </w:r>
    </w:p>
    <w:p>
      <w:pPr>
        <w:pStyle w:val="FirstParagraph"/>
      </w:pPr>
      <w:r>
        <w:t xml:space="preserve">Tenant logs in at</w:t>
      </w:r>
      <w:r>
        <w:t xml:space="preserve"> </w:t>
      </w:r>
      <w:r>
        <w:rPr>
          <w:rStyle w:val="VerbatimChar"/>
        </w:rPr>
        <w:t xml:space="preserve">/portal/login</w:t>
      </w:r>
      <w:r>
        <w:t xml:space="preserve"> </w:t>
      </w:r>
      <w:r>
        <w:t xml:space="preserve">(their own coach email + password) then navigates to</w:t>
      </w:r>
      <w:r>
        <w:t xml:space="preserve"> </w:t>
      </w:r>
      <w:r>
        <w:rPr>
          <w:rStyle w:val="VerbatimChar"/>
        </w:rPr>
        <w:t xml:space="preserve">/dashboard/settings/tenant</w:t>
      </w:r>
      <w:r>
        <w:t xml:space="preserve">. Every section is editable inline: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Brand shell</w:t>
      </w:r>
      <w:r>
        <w:t xml:space="preserve"> </w:t>
      </w:r>
      <w:r>
        <w:t xml:space="preserve">(13 fields — name, logos, domains, email addresses, accent color)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Coach identity</w:t>
      </w:r>
      <w:r>
        <w:t xml:space="preserve"> </w:t>
      </w:r>
      <w:r>
        <w:t xml:space="preserve">(10 fields — name, photo, credentials, social handles, WhatsApp)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Product wrapping</w:t>
      </w:r>
      <w:r>
        <w:t xml:space="preserve"> </w:t>
      </w:r>
      <w:r>
        <w:t xml:space="preserve">(11 fields — product names + prices in AUD)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Licence</w:t>
      </w:r>
      <w:r>
        <w:t xml:space="preserve"> </w:t>
      </w:r>
      <w:r>
        <w:t xml:space="preserve">(</w:t>
      </w:r>
      <w:r>
        <w:rPr>
          <w:rStyle w:val="VerbatimChar"/>
        </w:rPr>
        <w:t xml:space="preserve">tenantId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poweredBy</w:t>
      </w:r>
      <w:r>
        <w:t xml:space="preserve"> </w:t>
      </w:r>
      <w:r>
        <w:t xml:space="preserve">toggle,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stamp)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Modality</w:t>
      </w:r>
      <w:r>
        <w:t xml:space="preserve"> </w:t>
      </w:r>
      <w:r>
        <w:t xml:space="preserve">(id + label + doctrineMode — usually leave at A for founding partners)</w:t>
      </w:r>
    </w:p>
    <w:p>
      <w:pPr>
        <w:pStyle w:val="FirstParagraph"/>
      </w:pPr>
      <w:r>
        <w:t xml:space="preserve">Saves via</w:t>
      </w:r>
      <w:r>
        <w:t xml:space="preserve"> </w:t>
      </w:r>
      <w:r>
        <w:rPr>
          <w:rStyle w:val="VerbatimChar"/>
        </w:rPr>
        <w:t xml:space="preserve">POST /api/tenant/update</w:t>
      </w:r>
      <w:r>
        <w:t xml:space="preserve"> </w:t>
      </w:r>
      <w:r>
        <w:t xml:space="preserve">which:</w:t>
      </w:r>
      <w:r>
        <w:t xml:space="preserve"> </w:t>
      </w:r>
      <w:r>
        <w:t xml:space="preserve">- Verifies caller is authenticated + on coach allowlist</w:t>
      </w:r>
      <w:r>
        <w:t xml:space="preserve"> </w:t>
      </w:r>
      <w:r>
        <w:t xml:space="preserve">- Uses RLS-protected client (coach can only update their own row)</w:t>
      </w:r>
      <w:r>
        <w:t xml:space="preserve"> </w:t>
      </w:r>
      <w:r>
        <w:t xml:space="preserve">- Invalidates the in-memory tenant cache on success</w:t>
      </w:r>
    </w:p>
    <w:bookmarkEnd w:id="13"/>
    <w:bookmarkStart w:id="16" w:name="step-3-domain-routing"/>
    <w:p>
      <w:pPr>
        <w:pStyle w:val="Heading2"/>
      </w:pPr>
      <w:r>
        <w:t xml:space="preserve">Step 3 · Domain routing</w:t>
      </w:r>
    </w:p>
    <w:p>
      <w:pPr>
        <w:pStyle w:val="FirstParagraph"/>
      </w:pPr>
      <w:r>
        <w:t xml:space="preserve">Two approaches depending on tenant’s setup.</w:t>
      </w:r>
    </w:p>
    <w:bookmarkStart w:id="14" w:name="Xc6cf0338ee3c586f1eeb1d9fe95bb75c81924fe"/>
    <w:p>
      <w:pPr>
        <w:pStyle w:val="Heading3"/>
      </w:pPr>
      <w:r>
        <w:t xml:space="preserve">Approach 1 · Subdomain on shared deployment (fastest, cheapest)</w:t>
      </w:r>
    </w:p>
    <w:p>
      <w:pPr>
        <w:pStyle w:val="Compact"/>
        <w:numPr>
          <w:ilvl w:val="0"/>
          <w:numId w:val="1010"/>
        </w:numPr>
      </w:pPr>
      <w:r>
        <w:t xml:space="preserve">Point their subdomain (e.g. </w:t>
      </w:r>
      <w:r>
        <w:rPr>
          <w:rStyle w:val="VerbatimChar"/>
        </w:rPr>
        <w:t xml:space="preserve">melisa.sot-platform.com</w:t>
      </w:r>
      <w:r>
        <w:t xml:space="preserve">) at the BR Vercel deployment via CNAME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src/lib/tenant-resolver.ts</w:t>
      </w:r>
      <w:r>
        <w:t xml:space="preserve"> </w:t>
      </w:r>
      <w:r>
        <w:t xml:space="preserve">already recognises 3-part hosts — extracts first label as tenant_id (</w:t>
      </w:r>
      <w:r>
        <w:rPr>
          <w:rStyle w:val="VerbatimChar"/>
        </w:rPr>
        <w:t xml:space="preserve">melisa.sot-platform.com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tenant_id='melisa'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No middleware changes needed</w:t>
      </w:r>
    </w:p>
    <w:p>
      <w:pPr>
        <w:pStyle w:val="Compact"/>
        <w:numPr>
          <w:ilvl w:val="0"/>
          <w:numId w:val="1010"/>
        </w:numPr>
      </w:pPr>
      <w:r>
        <w:t xml:space="preserve">Test:</w:t>
      </w:r>
      <w:r>
        <w:t xml:space="preserve"> </w:t>
      </w:r>
      <w:r>
        <w:rPr>
          <w:rStyle w:val="VerbatimChar"/>
        </w:rPr>
        <w:t xml:space="preserve">curl -H "Host: melisa.sot-platform.com" https://bodyrecode.au/</w:t>
      </w:r>
      <w:r>
        <w:t xml:space="preserve"> </w:t>
      </w:r>
      <w:r>
        <w:t xml:space="preserve">should render Melisa’s brand once feature flag is on</w:t>
      </w:r>
    </w:p>
    <w:bookmarkEnd w:id="14"/>
    <w:bookmarkStart w:id="15" w:name="X7c61dad660aa28051588d5f1191aee0407f6a45"/>
    <w:p>
      <w:pPr>
        <w:pStyle w:val="Heading3"/>
      </w:pPr>
      <w:r>
        <w:t xml:space="preserve">Approach 2 · Custom domain (future — tenant_domains table)</w:t>
      </w:r>
    </w:p>
    <w:p>
      <w:pPr>
        <w:pStyle w:val="FirstParagraph"/>
      </w:pPr>
      <w:r>
        <w:t xml:space="preserve">Not yet implemented. Requires a</w:t>
      </w:r>
      <w:r>
        <w:t xml:space="preserve"> </w:t>
      </w:r>
      <w:r>
        <w:rPr>
          <w:rStyle w:val="VerbatimChar"/>
        </w:rPr>
        <w:t xml:space="preserve">tenant_domains</w:t>
      </w:r>
      <w:r>
        <w:t xml:space="preserve"> </w:t>
      </w:r>
      <w:r>
        <w:t xml:space="preserve">mapping table + resolver extension. Track for post-Founding-Ten evergreen tier.</w:t>
      </w:r>
    </w:p>
    <w:bookmarkEnd w:id="15"/>
    <w:bookmarkEnd w:id="16"/>
    <w:bookmarkStart w:id="17" w:name="step-4-enable-db-backed-tenant-config"/>
    <w:p>
      <w:pPr>
        <w:pStyle w:val="Heading2"/>
      </w:pPr>
      <w:r>
        <w:t xml:space="preserve">Step 4 · Enable DB-backed tenant config</w:t>
      </w:r>
    </w:p>
    <w:p>
      <w:pPr>
        <w:pStyle w:val="FirstParagraph"/>
      </w:pPr>
      <w:r>
        <w:t xml:space="preserve">In Vercel project settings → Environment Variables: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NEXT_PUBLIC_TENANT_DB_ENABLED=true</w:t>
      </w:r>
    </w:p>
    <w:p>
      <w:pPr>
        <w:pStyle w:val="FirstParagraph"/>
      </w:pPr>
      <w:r>
        <w:t xml:space="preserve">Redeploy. On next request:</w:t>
      </w:r>
      <w:r>
        <w:t xml:space="preserve"> </w:t>
      </w:r>
      <w:r>
        <w:t xml:space="preserve">- Middleware sets</w:t>
      </w:r>
      <w:r>
        <w:t xml:space="preserve"> </w:t>
      </w:r>
      <w:r>
        <w:rPr>
          <w:rStyle w:val="VerbatimChar"/>
        </w:rPr>
        <w:t xml:space="preserve">x-tenant-id</w:t>
      </w:r>
      <w:r>
        <w:t xml:space="preserve"> </w:t>
      </w:r>
      <w:r>
        <w:t xml:space="preserve">header based on host</w:t>
      </w:r>
      <w:r>
        <w:t xml:space="preserve"> </w:t>
      </w:r>
      <w:r>
        <w:t xml:space="preserve">- Root layout calls</w:t>
      </w:r>
      <w:r>
        <w:t xml:space="preserve"> </w:t>
      </w:r>
      <w:r>
        <w:rPr>
          <w:rStyle w:val="VerbatimChar"/>
        </w:rPr>
        <w:t xml:space="preserve">prefetchTenant(tenantId)</w:t>
      </w:r>
      <w:r>
        <w:t xml:space="preserve"> </w:t>
      </w:r>
      <w:r>
        <w:t xml:space="preserve">→ warms cache</w:t>
      </w:r>
      <w:r>
        <w:t xml:space="preserve"> </w:t>
      </w:r>
      <w:r>
        <w:t xml:space="preserve">- Every downstream</w:t>
      </w:r>
      <w:r>
        <w:t xml:space="preserve"> </w:t>
      </w:r>
      <w:r>
        <w:rPr>
          <w:rStyle w:val="VerbatimChar"/>
        </w:rPr>
        <w:t xml:space="preserve">getTenant()</w:t>
      </w:r>
      <w:r>
        <w:t xml:space="preserve"> </w:t>
      </w:r>
      <w:r>
        <w:t xml:space="preserve">returns THEIR config, not BR’s</w:t>
      </w:r>
    </w:p>
    <w:p>
      <w:pPr>
        <w:pStyle w:val="BodyText"/>
      </w:pPr>
      <w:r>
        <w:t xml:space="preserve">Falls back to hardcoded BR config on any DB failure. Zero-risk cutover.</w:t>
      </w:r>
    </w:p>
    <w:bookmarkEnd w:id="17"/>
    <w:bookmarkStart w:id="18" w:name="step-5-wire-tenant-stripe"/>
    <w:p>
      <w:pPr>
        <w:pStyle w:val="Heading2"/>
      </w:pPr>
      <w:r>
        <w:t xml:space="preserve">Step 5 · Wire tenant Stripe</w:t>
      </w:r>
    </w:p>
    <w:p>
      <w:pPr>
        <w:pStyle w:val="Compact"/>
        <w:numPr>
          <w:ilvl w:val="0"/>
          <w:numId w:val="1012"/>
        </w:numPr>
      </w:pPr>
      <w:r>
        <w:t xml:space="preserve">Tenant creates their Stripe products (Report, Challenge, Blueprint, Membership) matching what’s in their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 </w:t>
      </w:r>
      <w:r>
        <w:t xml:space="preserve">config</w:t>
      </w:r>
    </w:p>
    <w:p>
      <w:pPr>
        <w:pStyle w:val="Compact"/>
        <w:numPr>
          <w:ilvl w:val="0"/>
          <w:numId w:val="1013"/>
        </w:numPr>
      </w:pPr>
      <w:r>
        <w:t xml:space="preserve">Tenant enables Stripe Connect if they’ll receive payments directly (not-yet-implemented)</w:t>
      </w:r>
    </w:p>
    <w:p>
      <w:pPr>
        <w:pStyle w:val="Compact"/>
        <w:numPr>
          <w:ilvl w:val="0"/>
          <w:numId w:val="1014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STRIPE_SECRET_KEY_{TENANT}</w:t>
      </w:r>
      <w:r>
        <w:t xml:space="preserve"> </w:t>
      </w:r>
      <w:r>
        <w:t xml:space="preserve">env var + wire routing (post-Founding-Ten work)</w:t>
      </w:r>
    </w:p>
    <w:p>
      <w:pPr>
        <w:pStyle w:val="FirstParagraph"/>
      </w:pPr>
      <w:r>
        <w:t xml:space="preserve">Interim: manual per-tenant Stripe account routing. Not in this cutover.</w:t>
      </w:r>
    </w:p>
    <w:bookmarkEnd w:id="18"/>
    <w:bookmarkStart w:id="19" w:name="step-6-wire-tenant-resend"/>
    <w:p>
      <w:pPr>
        <w:pStyle w:val="Heading2"/>
      </w:pPr>
      <w:r>
        <w:t xml:space="preserve">Step 6 · Wire tenant Resend</w:t>
      </w:r>
    </w:p>
    <w:p>
      <w:pPr>
        <w:pStyle w:val="FirstParagraph"/>
      </w:pPr>
      <w:r>
        <w:rPr>
          <w:b/>
          <w:bCs/>
        </w:rPr>
        <w:t xml:space="preserve">Code wiring is DONE (2026-07-03).</w:t>
      </w:r>
      <w:r>
        <w:t xml:space="preserve"> </w:t>
      </w:r>
      <w:r>
        <w:rPr>
          <w:rStyle w:val="VerbatimChar"/>
        </w:rPr>
        <w:t xml:space="preserve">fromCoach()</w:t>
      </w:r>
      <w:r>
        <w:t xml:space="preserve">,</w:t>
      </w:r>
      <w:r>
        <w:t xml:space="preserve"> </w:t>
      </w:r>
      <w:r>
        <w:rPr>
          <w:rStyle w:val="VerbatimChar"/>
        </w:rPr>
        <w:t xml:space="preserve">fromBrand()</w:t>
      </w:r>
      <w:r>
        <w:t xml:space="preserve">,</w:t>
      </w:r>
      <w:r>
        <w:t xml:space="preserve"> </w:t>
      </w:r>
      <w:r>
        <w:rPr>
          <w:rStyle w:val="VerbatimChar"/>
        </w:rPr>
        <w:t xml:space="preserve">COACH_BCC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src/lib/email-shell.ts</w:t>
      </w:r>
      <w:r>
        <w:t xml:space="preserve"> </w:t>
      </w:r>
      <w:r>
        <w:t xml:space="preserve">all read from</w:t>
      </w:r>
      <w:r>
        <w:t xml:space="preserve"> </w:t>
      </w:r>
      <w:r>
        <w:rPr>
          <w:rStyle w:val="VerbatimChar"/>
        </w:rPr>
        <w:t xml:space="preserve">brand()</w:t>
      </w:r>
      <w:r>
        <w:t xml:space="preserve">/</w:t>
      </w:r>
      <w:r>
        <w:rPr>
          <w:rStyle w:val="VerbatimChar"/>
        </w:rPr>
        <w:t xml:space="preserve">coach()</w:t>
      </w:r>
      <w:r>
        <w:t xml:space="preserve"> </w:t>
      </w:r>
      <w:r>
        <w:t xml:space="preserve">— updating the tenant’s</w:t>
      </w:r>
      <w:r>
        <w:t xml:space="preserve"> </w:t>
      </w:r>
      <w:r>
        <w:rPr>
          <w:rStyle w:val="VerbatimChar"/>
        </w:rPr>
        <w:t xml:space="preserve">brand.fromEmail</w:t>
      </w:r>
      <w:r>
        <w:t xml:space="preserve"> </w:t>
      </w:r>
      <w:r>
        <w:t xml:space="preserve">via /dashboard/settings/tenant changes the from-address on all 115 send sites automatically.</w:t>
      </w:r>
    </w:p>
    <w:p>
      <w:pPr>
        <w:pStyle w:val="BodyText"/>
      </w:pPr>
      <w:r>
        <w:t xml:space="preserve">Remaining manual work per tenant:</w:t>
      </w:r>
    </w:p>
    <w:p>
      <w:pPr>
        <w:pStyle w:val="Compact"/>
        <w:numPr>
          <w:ilvl w:val="0"/>
          <w:numId w:val="1015"/>
        </w:numPr>
      </w:pPr>
      <w:r>
        <w:t xml:space="preserve">Add tenant’s sending domain to the shared Resend account (Kade’s account for now — see scaling note below)</w:t>
      </w:r>
    </w:p>
    <w:p>
      <w:pPr>
        <w:pStyle w:val="Compact"/>
        <w:numPr>
          <w:ilvl w:val="0"/>
          <w:numId w:val="1016"/>
        </w:numPr>
      </w:pPr>
      <w:r>
        <w:t xml:space="preserve">Domain verified in Resend (DKIM + SPF DNS records propagated)</w:t>
      </w:r>
    </w:p>
    <w:p>
      <w:pPr>
        <w:pStyle w:val="Compact"/>
        <w:numPr>
          <w:ilvl w:val="0"/>
          <w:numId w:val="1017"/>
        </w:numPr>
      </w:pPr>
      <w:r>
        <w:t xml:space="preserve">Test send from</w:t>
      </w:r>
      <w:r>
        <w:t xml:space="preserve"> </w:t>
      </w:r>
      <w:r>
        <w:rPr>
          <w:rStyle w:val="VerbatimChar"/>
        </w:rPr>
        <w:t xml:space="preserve">${tenant}@send.${tenant-domain}</w:t>
      </w:r>
      <w:r>
        <w:t xml:space="preserve"> </w:t>
      </w:r>
      <w:r>
        <w:t xml:space="preserve">to Kade’s inbox</w:t>
      </w:r>
    </w:p>
    <w:p>
      <w:pPr>
        <w:pStyle w:val="Compact"/>
        <w:numPr>
          <w:ilvl w:val="0"/>
          <w:numId w:val="1018"/>
        </w:numPr>
      </w:pPr>
      <w:r>
        <w:t xml:space="preserve">Verify no delivery to spam (Outlook + Gmail)</w:t>
      </w:r>
    </w:p>
    <w:p>
      <w:pPr>
        <w:pStyle w:val="Compact"/>
        <w:numPr>
          <w:ilvl w:val="0"/>
          <w:numId w:val="1019"/>
        </w:numPr>
      </w:pPr>
      <w:r>
        <w:t xml:space="preserve">Update tenant’s</w:t>
      </w:r>
      <w:r>
        <w:t xml:space="preserve"> </w:t>
      </w:r>
      <w:r>
        <w:rPr>
          <w:rStyle w:val="VerbatimChar"/>
        </w:rPr>
        <w:t xml:space="preserve">brand.fromEmail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brand.replyToEmail</w:t>
      </w:r>
      <w:r>
        <w:t xml:space="preserve"> </w:t>
      </w:r>
      <w:r>
        <w:t xml:space="preserve">via /dashboard/settings/tenant</w:t>
      </w:r>
    </w:p>
    <w:p>
      <w:pPr>
        <w:pStyle w:val="FirstParagraph"/>
      </w:pPr>
      <w:r>
        <w:rPr>
          <w:b/>
          <w:bCs/>
        </w:rPr>
        <w:t xml:space="preserve">Scaling note (post-Founding-Ten):</w:t>
      </w:r>
      <w:r>
        <w:t xml:space="preserve"> </w:t>
      </w:r>
      <w:r>
        <w:t xml:space="preserve">All tenants currently share Kade’s</w:t>
      </w:r>
      <w:r>
        <w:t xml:space="preserve"> </w:t>
      </w:r>
      <w:r>
        <w:rPr>
          <w:rStyle w:val="VerbatimChar"/>
        </w:rPr>
        <w:t xml:space="preserve">RESEND_API_KEY</w:t>
      </w:r>
      <w:r>
        <w:t xml:space="preserve"> </w:t>
      </w:r>
      <w:r>
        <w:t xml:space="preserve">env var. Kade adds each tenant’s DNS records to his Resend account and each tenant sends through him. This works for 10 partners but caps at ~50 verified domains per Resend account. Post-Founding-Ten: introduce per-tenant</w:t>
      </w:r>
      <w:r>
        <w:t xml:space="preserve"> </w:t>
      </w:r>
      <w:r>
        <w:rPr>
          <w:rStyle w:val="VerbatimChar"/>
        </w:rPr>
        <w:t xml:space="preserve">RESEND_API_KEY_{TENANT_SLUG}</w:t>
      </w:r>
      <w:r>
        <w:t xml:space="preserve"> </w:t>
      </w:r>
      <w:r>
        <w:t xml:space="preserve">env vars + a</w:t>
      </w:r>
      <w:r>
        <w:t xml:space="preserve"> </w:t>
      </w:r>
      <w:r>
        <w:rPr>
          <w:rStyle w:val="VerbatimChar"/>
        </w:rPr>
        <w:t xml:space="preserve">getResendKey(tenantId)</w:t>
      </w:r>
      <w:r>
        <w:t xml:space="preserve"> </w:t>
      </w:r>
      <w:r>
        <w:t xml:space="preserve">helper that reads the tenant-scoped key with fallback to the shared key. All 115 send sites already call helper functions, so the choke point is small.</w:t>
      </w:r>
    </w:p>
    <w:bookmarkEnd w:id="19"/>
    <w:bookmarkStart w:id="20" w:name="step-7-definition-of-done"/>
    <w:p>
      <w:pPr>
        <w:pStyle w:val="Heading2"/>
      </w:pPr>
      <w:r>
        <w:t xml:space="preserve">Step 7 · Definition of Done</w:t>
      </w:r>
    </w:p>
    <w:p>
      <w:pPr>
        <w:pStyle w:val="FirstParagraph"/>
      </w:pPr>
      <w:r>
        <w:t xml:space="preserve">Test each of these on tenant’s live domain BEFORE handoff:</w:t>
      </w:r>
    </w:p>
    <w:p>
      <w:pPr>
        <w:pStyle w:val="Compact"/>
        <w:numPr>
          <w:ilvl w:val="0"/>
          <w:numId w:val="1020"/>
        </w:numPr>
      </w:pPr>
      <w:r>
        <w:t xml:space="preserve">Homepage loads with THEIR branding (name, logo, colour) — no</w:t>
      </w:r>
      <w:r>
        <w:t xml:space="preserve"> </w:t>
      </w:r>
      <w:r>
        <w:t xml:space="preserve">“Body Recode”</w:t>
      </w:r>
      <w:r>
        <w:t xml:space="preserve"> </w:t>
      </w:r>
      <w:r>
        <w:t xml:space="preserve">visible above the fold</w:t>
      </w:r>
    </w:p>
    <w:p>
      <w:pPr>
        <w:pStyle w:val="Compact"/>
        <w:numPr>
          <w:ilvl w:val="0"/>
          <w:numId w:val="1021"/>
        </w:numPr>
      </w:pPr>
      <w:r>
        <w:t xml:space="preserve">Scorecard funnel: entry → quiz → submit → report email fires from THEIR from-address</w:t>
      </w:r>
    </w:p>
    <w:p>
      <w:pPr>
        <w:pStyle w:val="Compact"/>
        <w:numPr>
          <w:ilvl w:val="0"/>
          <w:numId w:val="1022"/>
        </w:numPr>
      </w:pPr>
      <w:r>
        <w:t xml:space="preserve">Report email: THEIR logo, THEIR voice, links back to THEIR domain</w:t>
      </w:r>
    </w:p>
    <w:p>
      <w:pPr>
        <w:pStyle w:val="Compact"/>
        <w:numPr>
          <w:ilvl w:val="0"/>
          <w:numId w:val="1023"/>
        </w:numPr>
      </w:pPr>
      <w:r>
        <w:t xml:space="preserve">Client can sign up via portal → welcome email from THEIR from-address</w:t>
      </w:r>
    </w:p>
    <w:p>
      <w:pPr>
        <w:pStyle w:val="Compact"/>
        <w:numPr>
          <w:ilvl w:val="0"/>
          <w:numId w:val="1024"/>
        </w:numPr>
      </w:pPr>
      <w:r>
        <w:t xml:space="preserve">Foundational intake works + generates CFFS + Foundational Reading</w:t>
      </w:r>
    </w:p>
    <w:p>
      <w:pPr>
        <w:pStyle w:val="Compact"/>
        <w:numPr>
          <w:ilvl w:val="0"/>
          <w:numId w:val="1025"/>
        </w:numPr>
      </w:pPr>
      <w:r>
        <w:t xml:space="preserve">Coach can approve/publish → client sees in portal</w:t>
      </w:r>
    </w:p>
    <w:p>
      <w:pPr>
        <w:pStyle w:val="Compact"/>
        <w:numPr>
          <w:ilvl w:val="0"/>
          <w:numId w:val="1026"/>
        </w:numPr>
      </w:pPr>
      <w:r>
        <w:t xml:space="preserve">Weekly check-in flow works</w:t>
      </w:r>
    </w:p>
    <w:p>
      <w:pPr>
        <w:pStyle w:val="Compact"/>
        <w:numPr>
          <w:ilvl w:val="0"/>
          <w:numId w:val="1027"/>
        </w:numPr>
      </w:pPr>
      <w:r>
        <w:t xml:space="preserve">Payments: test purchase clears in THEIR Stripe</w:t>
      </w:r>
    </w:p>
    <w:p>
      <w:pPr>
        <w:pStyle w:val="Compact"/>
        <w:numPr>
          <w:ilvl w:val="0"/>
          <w:numId w:val="1028"/>
        </w:numPr>
      </w:pPr>
      <w:r>
        <w:t xml:space="preserve">Tenant coach logs in as themselves → sees only their clients</w:t>
      </w:r>
    </w:p>
    <w:p>
      <w:pPr>
        <w:pStyle w:val="Compact"/>
        <w:numPr>
          <w:ilvl w:val="0"/>
          <w:numId w:val="1029"/>
        </w:numPr>
      </w:pPr>
      <w:r>
        <w:t xml:space="preserve">Kade (as service_role) still has admin access via /dashboard/settings/tenants for support</w:t>
      </w:r>
    </w:p>
    <w:bookmarkEnd w:id="20"/>
    <w:bookmarkStart w:id="21" w:name="step-8-handover"/>
    <w:p>
      <w:pPr>
        <w:pStyle w:val="Heading2"/>
      </w:pPr>
      <w:r>
        <w:t xml:space="preserve">Step 8 · Handover</w:t>
      </w:r>
    </w:p>
    <w:p>
      <w:pPr>
        <w:pStyle w:val="Compact"/>
        <w:numPr>
          <w:ilvl w:val="0"/>
          <w:numId w:val="1030"/>
        </w:numPr>
      </w:pPr>
      <w:r>
        <w:t xml:space="preserve">1-hour training session on the coach dashboard</w:t>
      </w:r>
    </w:p>
    <w:p>
      <w:pPr>
        <w:pStyle w:val="Compact"/>
        <w:numPr>
          <w:ilvl w:val="0"/>
          <w:numId w:val="1031"/>
        </w:numPr>
      </w:pPr>
      <w:r>
        <w:t xml:space="preserve">Handover doc: login credentials, how-to-approve-plans, escalation contacts</w:t>
      </w:r>
    </w:p>
    <w:p>
      <w:pPr>
        <w:pStyle w:val="Compact"/>
        <w:numPr>
          <w:ilvl w:val="0"/>
          <w:numId w:val="1032"/>
        </w:numPr>
      </w:pPr>
      <w:r>
        <w:t xml:space="preserve">Load in their first 3-5 clients as a real test</w:t>
      </w:r>
    </w:p>
    <w:p>
      <w:pPr>
        <w:pStyle w:val="Compact"/>
        <w:numPr>
          <w:ilvl w:val="0"/>
          <w:numId w:val="1033"/>
        </w:numPr>
      </w:pPr>
      <w:r>
        <w:t xml:space="preserve">Tenant runs full loop solo for 24-48h before public launch</w:t>
      </w:r>
    </w:p>
    <w:p>
      <w:pPr>
        <w:pStyle w:val="Compact"/>
        <w:numPr>
          <w:ilvl w:val="0"/>
          <w:numId w:val="1034"/>
        </w:numPr>
      </w:pPr>
      <w:r>
        <w:t xml:space="preserve">Kade on standby for launch-day support</w:t>
      </w:r>
    </w:p>
    <w:p>
      <w:r>
        <w:pict>
          <v:rect style="width:0;height:1.5pt" o:hralign="center" o:hrstd="t" o:hr="t"/>
        </w:pict>
      </w:r>
    </w:p>
    <w:bookmarkEnd w:id="21"/>
    <w:bookmarkStart w:id="22" w:name="rollback-if-something-breaks"/>
    <w:p>
      <w:pPr>
        <w:pStyle w:val="Heading2"/>
      </w:pPr>
      <w:r>
        <w:t xml:space="preserve">Rollback if something breaks</w:t>
      </w:r>
    </w:p>
    <w:p>
      <w:pPr>
        <w:pStyle w:val="FirstParagraph"/>
      </w:pPr>
      <w:r>
        <w:t xml:space="preserve">Any point during onboarding: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Feature flag off: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NEXT_PUBLIC_TENANT_DB_ENABLED=false</w:t>
      </w:r>
      <w:r>
        <w:t xml:space="preserve"> </w:t>
      </w:r>
      <w:r>
        <w:t xml:space="preserve">on Vercel → immediately reverts to in-code BR config for that deployment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Domain redirect:</w:t>
      </w:r>
      <w:r>
        <w:t xml:space="preserve"> </w:t>
      </w:r>
      <w:r>
        <w:t xml:space="preserve">point their domain at a</w:t>
      </w:r>
      <w:r>
        <w:t xml:space="preserve"> </w:t>
      </w:r>
      <w:r>
        <w:t xml:space="preserve">“coming soon”</w:t>
      </w:r>
      <w:r>
        <w:t xml:space="preserve"> </w:t>
      </w:r>
      <w:r>
        <w:t xml:space="preserve">holding page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Delete tenant row:</w:t>
      </w:r>
      <w:r>
        <w:t xml:space="preserve"> </w:t>
      </w:r>
      <w:r>
        <w:rPr>
          <w:rStyle w:val="VerbatimChar"/>
        </w:rPr>
        <w:t xml:space="preserve">DELETE FROM tenant_config WHERE coach_id = 'THEIR_UUID';</w:t>
      </w:r>
      <w:r>
        <w:t xml:space="preserve"> </w:t>
      </w:r>
      <w:r>
        <w:t xml:space="preserve">— safe, cache auto-invalidates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Refund test transactions</w:t>
      </w:r>
      <w:r>
        <w:t xml:space="preserve">: from their Stripe (their money, their action)</w:t>
      </w:r>
    </w:p>
    <w:p>
      <w:pPr>
        <w:pStyle w:val="FirstParagraph"/>
      </w:pPr>
      <w:r>
        <w:t xml:space="preserve">Zero data loss risk because tenant_config is isolated from client data (which is coach_id-scoped via RLS separately).</w:t>
      </w:r>
    </w:p>
    <w:p>
      <w:r>
        <w:pict>
          <v:rect style="width:0;height:1.5pt" o:hralign="center" o:hrstd="t" o:hr="t"/>
        </w:pict>
      </w:r>
    </w:p>
    <w:bookmarkEnd w:id="22"/>
    <w:bookmarkStart w:id="23" w:name="Xa266babccfa3ceeb0a79fbe021fa018f0fc0a31"/>
    <w:p>
      <w:pPr>
        <w:pStyle w:val="Heading2"/>
      </w:pPr>
      <w:r>
        <w:t xml:space="preserve">What we’re learning from Melisa (pilot zero)</w:t>
      </w:r>
    </w:p>
    <w:p>
      <w:pPr>
        <w:pStyle w:val="FirstParagraph"/>
      </w:pPr>
      <w:r>
        <w:t xml:space="preserve">The pilot’s real deliverable is a</w:t>
      </w:r>
      <w:r>
        <w:t xml:space="preserve"> </w:t>
      </w:r>
      <w:r>
        <w:rPr>
          <w:b/>
          <w:bCs/>
        </w:rPr>
        <w:t xml:space="preserve">tightened v2 of this checklist for partners #2-#10.</w:t>
      </w:r>
      <w:r>
        <w:t xml:space="preserve"> </w:t>
      </w:r>
      <w:r>
        <w:t xml:space="preserve">Track:</w:t>
      </w:r>
    </w:p>
    <w:p>
      <w:pPr>
        <w:pStyle w:val="Compact"/>
        <w:numPr>
          <w:ilvl w:val="0"/>
          <w:numId w:val="1036"/>
        </w:numPr>
      </w:pPr>
      <w:r>
        <w:t xml:space="preserve">Which manual steps hurt most? (Prime candidates for automation)</w:t>
      </w:r>
    </w:p>
    <w:p>
      <w:pPr>
        <w:pStyle w:val="Compact"/>
        <w:numPr>
          <w:ilvl w:val="0"/>
          <w:numId w:val="1036"/>
        </w:numPr>
      </w:pPr>
      <w:r>
        <w:t xml:space="preserve">Which fields on</w:t>
      </w:r>
      <w:r>
        <w:t xml:space="preserve"> </w:t>
      </w:r>
      <w:r>
        <w:rPr>
          <w:rStyle w:val="VerbatimChar"/>
        </w:rPr>
        <w:t xml:space="preserve">/dashboard/settings/tenant</w:t>
      </w:r>
      <w:r>
        <w:t xml:space="preserve"> </w:t>
      </w:r>
      <w:r>
        <w:t xml:space="preserve">should have better defaults?</w:t>
      </w:r>
    </w:p>
    <w:p>
      <w:pPr>
        <w:pStyle w:val="Compact"/>
        <w:numPr>
          <w:ilvl w:val="0"/>
          <w:numId w:val="1036"/>
        </w:numPr>
      </w:pPr>
      <w:r>
        <w:t xml:space="preserve">What did tenant find confusing about the flow?</w:t>
      </w:r>
    </w:p>
    <w:p>
      <w:pPr>
        <w:pStyle w:val="Compact"/>
        <w:numPr>
          <w:ilvl w:val="0"/>
          <w:numId w:val="1036"/>
        </w:numPr>
      </w:pPr>
      <w:r>
        <w:t xml:space="preserve">What did their clients notice as broken/wrong first?</w:t>
      </w:r>
    </w:p>
    <w:p>
      <w:pPr>
        <w:pStyle w:val="FirstParagraph"/>
      </w:pPr>
      <w:r>
        <w:t xml:space="preserve">After Melisa live + stable 30 days → update this checklist → decide GO/NO-GO on partner #2.</w:t>
      </w:r>
    </w:p>
    <w:p>
      <w:r>
        <w:pict>
          <v:rect style="width:0;height:1.5pt" o:hralign="center" o:hrstd="t" o:hr="t"/>
        </w:pict>
      </w:r>
    </w:p>
    <w:bookmarkEnd w:id="23"/>
    <w:bookmarkStart w:id="24" w:name="verification-tools"/>
    <w:p>
      <w:pPr>
        <w:pStyle w:val="Heading2"/>
      </w:pPr>
      <w:r>
        <w:t xml:space="preserve">Verification tools</w:t>
      </w:r>
    </w:p>
    <w:p>
      <w:pPr>
        <w:pStyle w:val="FirstParagraph"/>
      </w:pPr>
      <w:r>
        <w:t xml:space="preserve">Reusable scripts for verifying the pipeline still works: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scripts/test-tenant-pipeline.ts</w:t>
      </w:r>
      <w:r>
        <w:t xml:space="preserve"> </w:t>
      </w:r>
      <w:r>
        <w:t xml:space="preserve">— 22 unit tests on resolver + loader + cache. Run:</w:t>
      </w:r>
      <w:r>
        <w:t xml:space="preserve"> </w:t>
      </w:r>
      <w:r>
        <w:rPr>
          <w:rStyle w:val="VerbatimChar"/>
        </w:rPr>
        <w:t xml:space="preserve">export $(grep -E "^(NEXT_PUBLIC_SUPABASE_URL|SUPABASE_SERVICE_ROLE_KEY)=" .env.local | xargs) &amp;&amp; npx tsx scripts/test-tenant-pipeline.ts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scripts/test-melisa-full-pipeline.ts</w:t>
      </w:r>
      <w:r>
        <w:t xml:space="preserve"> </w:t>
      </w:r>
      <w:r>
        <w:t xml:space="preserve">— end-to-end test: inserts test tenant → verifies loadTenantFromDb → verifies BR row byte-identical → cleans up. Confirms multi-tenant coexistence works.</w:t>
      </w:r>
    </w:p>
    <w:p>
      <w:pPr>
        <w:pStyle w:val="FirstParagraph"/>
      </w:pPr>
      <w:r>
        <w:t xml:space="preserve">Run before any Phase 2 deployment as a sanity check.</w:t>
      </w:r>
    </w:p>
    <w:bookmarkEnd w:id="24"/>
    <w:bookmarkStart w:id="27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38"/>
        </w:numPr>
      </w:pPr>
      <w:hyperlink r:id="rId9">
        <w:r>
          <w:rPr>
            <w:rStyle w:val="Hyperlink"/>
          </w:rPr>
          <w:t xml:space="preserve">MELISA_PILOT_ZERO_DEPLOYMENT_RUNBOOK.md</w:t>
        </w:r>
      </w:hyperlink>
      <w:r>
        <w:t xml:space="preserve"> </w:t>
      </w:r>
      <w:r>
        <w:t xml:space="preserve">— Shape A separate-deploy runbook (still valid for pilot zero)</w:t>
      </w:r>
    </w:p>
    <w:p>
      <w:pPr>
        <w:pStyle w:val="Compact"/>
        <w:numPr>
          <w:ilvl w:val="0"/>
          <w:numId w:val="1038"/>
        </w:numPr>
      </w:pPr>
      <w:hyperlink r:id="rId25">
        <w:r>
          <w:rPr>
            <w:rStyle w:val="Hyperlink"/>
          </w:rPr>
          <w:t xml:space="preserve">PARTNER_JOURNEY.md</w:t>
        </w:r>
      </w:hyperlink>
      <w:r>
        <w:t xml:space="preserve"> </w:t>
      </w:r>
      <w:r>
        <w:t xml:space="preserve">— 8-stage business process (Attract → Run)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../POWERED_PLATFORM_BUILD_PLAN.md</w:t>
        </w:r>
      </w:hyperlink>
      <w:r>
        <w:t xml:space="preserve"> </w:t>
      </w:r>
      <w:r>
        <w:t xml:space="preserve">— canonical Phase 0-4 plan</w:t>
      </w:r>
    </w:p>
    <w:p>
      <w:pPr>
        <w:pStyle w:val="Compact"/>
        <w:numPr>
          <w:ilvl w:val="0"/>
          <w:numId w:val="1038"/>
        </w:numPr>
      </w:pPr>
      <w:r>
        <w:t xml:space="preserve">Auto-memory:</w:t>
      </w:r>
      <w:r>
        <w:t xml:space="preserve"> </w:t>
      </w:r>
      <w:r>
        <w:rPr>
          <w:rStyle w:val="VerbatimChar"/>
        </w:rPr>
        <w:t xml:space="preserve">project_sot_powered_platform_build_plan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project_sot_white_label_licensing_model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../POWERED_PLATFORM_BUILD_PLAN.md" TargetMode="External" /><Relationship Type="http://schemas.openxmlformats.org/officeDocument/2006/relationships/hyperlink" Id="rId9" Target="./MELISA_PILOT_ZERO_DEPLOYMENT_RUNBOOK.md" TargetMode="External" /><Relationship Type="http://schemas.openxmlformats.org/officeDocument/2006/relationships/hyperlink" Id="rId25" Target="./PARTNER_JOURNE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../POWERED_PLATFORM_BUILD_PLAN.md" TargetMode="External" /><Relationship Type="http://schemas.openxmlformats.org/officeDocument/2006/relationships/hyperlink" Id="rId9" Target="./MELISA_PILOT_ZERO_DEPLOYMENT_RUNBOOK.md" TargetMode="External" /><Relationship Type="http://schemas.openxmlformats.org/officeDocument/2006/relationships/hyperlink" Id="rId25" Target="./PARTNER_JOURNE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2026-08-18T05:16:10Z</dcterms:created>
  <dcterms:modified xsi:type="dcterms:W3CDTF">2026-08-18T05:16:10Z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