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founding-partner-agreement"/>
    <w:p>
      <w:pPr>
        <w:pStyle w:val="Heading1"/>
      </w:pPr>
      <w:r>
        <w:t xml:space="preserve">Founding Partner Agreement</w:t>
      </w:r>
    </w:p>
    <w:p>
      <w:pPr>
        <w:pStyle w:val="FirstParagraph"/>
      </w:pPr>
      <w:r>
        <w:rPr>
          <w:b/>
          <w:bCs/>
        </w:rPr>
        <w:t xml:space="preserve">Body Recode Founding Ten programme</w:t>
      </w:r>
      <w:r>
        <w:t xml:space="preserve"> </w:t>
      </w:r>
      <w:r>
        <w:rPr>
          <w:b/>
          <w:bCs/>
        </w:rPr>
        <w:t xml:space="preserve">Draft v0.1 — For legal review only. Not for execution.</w:t>
      </w:r>
    </w:p>
    <w:p>
      <w:r>
        <w:pict>
          <v:rect style="width:0;height:1.5pt" o:hralign="center" o:hrstd="t" o:hr="t"/>
        </w:pict>
      </w:r>
    </w:p>
    <w:p>
      <w:pPr>
        <w:pStyle w:val="FirstParagraph"/>
      </w:pPr>
      <w:r>
        <w:rPr>
          <w:b/>
          <w:bCs/>
        </w:rPr>
        <w:t xml:space="preserve">PARTIES</w:t>
      </w:r>
    </w:p>
    <w:p>
      <w:pPr>
        <w:pStyle w:val="BodyText"/>
      </w:pPr>
      <w:r>
        <w:rPr>
          <w:b/>
          <w:bCs/>
        </w:rPr>
        <w:t xml:space="preserve">Body Recode Pty Ltd</w:t>
      </w:r>
      <w:r>
        <w:t xml:space="preserve"> </w:t>
      </w:r>
      <w:r>
        <w:t xml:space="preserve">ACN [__] of [Brisbane address], Queensland, Australia</w:t>
      </w:r>
      <w:r>
        <w:t xml:space="preserve"> </w:t>
      </w:r>
      <w:r>
        <w:t xml:space="preserve">(</w:t>
      </w:r>
      <w:r>
        <w:rPr>
          <w:b/>
          <w:bCs/>
        </w:rPr>
        <w:t xml:space="preserve">Body Recode</w:t>
      </w:r>
      <w:r>
        <w:t xml:space="preserve">)</w:t>
      </w:r>
    </w:p>
    <w:p>
      <w:pPr>
        <w:pStyle w:val="BodyText"/>
      </w:pPr>
      <w:r>
        <w:rPr>
          <w:b/>
          <w:bCs/>
        </w:rPr>
        <w:t xml:space="preserve">[Partner legal entity name]</w:t>
      </w:r>
      <w:r>
        <w:t xml:space="preserve"> </w:t>
      </w:r>
      <w:r>
        <w:t xml:space="preserve">ACN [__] of [address], Australia</w:t>
      </w:r>
      <w:r>
        <w:t xml:space="preserve"> </w:t>
      </w:r>
      <w:r>
        <w:t xml:space="preserve">(</w:t>
      </w:r>
      <w:r>
        <w:rPr>
          <w:b/>
          <w:bCs/>
        </w:rPr>
        <w:t xml:space="preserve">Partner</w:t>
      </w:r>
      <w:r>
        <w:t xml:space="preserve">)</w:t>
      </w:r>
    </w:p>
    <w:p>
      <w:pPr>
        <w:pStyle w:val="BodyText"/>
      </w:pPr>
      <w:r>
        <w:t xml:space="preserve">Each a</w:t>
      </w:r>
      <w:r>
        <w:t xml:space="preserve"> </w:t>
      </w:r>
      <w:r>
        <w:rPr>
          <w:b/>
          <w:bCs/>
        </w:rPr>
        <w:t xml:space="preserve">Party</w:t>
      </w:r>
      <w:r>
        <w:t xml:space="preserve"> </w:t>
      </w:r>
      <w:r>
        <w:t xml:space="preserve">and together the</w:t>
      </w:r>
      <w:r>
        <w:t xml:space="preserve"> </w:t>
      </w:r>
      <w:r>
        <w:rPr>
          <w:b/>
          <w:bCs/>
        </w:rPr>
        <w:t xml:space="preserve">Parties</w:t>
      </w:r>
      <w:r>
        <w:t xml:space="preserve">.</w:t>
      </w:r>
    </w:p>
    <w:p>
      <w:r>
        <w:pict>
          <v:rect style="width:0;height:1.5pt" o:hralign="center" o:hrstd="t" o:hr="t"/>
        </w:pict>
      </w:r>
    </w:p>
    <w:bookmarkStart w:id="9" w:name="background"/>
    <w:p>
      <w:pPr>
        <w:pStyle w:val="Heading2"/>
      </w:pPr>
      <w:r>
        <w:t xml:space="preserve">BACKGROUND</w:t>
      </w:r>
    </w:p>
    <w:p>
      <w:pPr>
        <w:pStyle w:val="FirstParagraph"/>
      </w:pPr>
      <w:r>
        <w:t xml:space="preserve">A. Body Recode operates a proprietary interpretation engine and coaching platform. The engine reads a client’s biological, physiological, and behavioural state and produces training, nutrition, and recovery direction. The platform sits on top of the engine and is where a coach delivers programs to clients.</w:t>
      </w:r>
    </w:p>
    <w:p>
      <w:pPr>
        <w:pStyle w:val="BodyText"/>
      </w:pPr>
      <w:r>
        <w:t xml:space="preserve">B. Body Recode has decided to license the platform to a limited group of ten allied coaches under the</w:t>
      </w:r>
      <w:r>
        <w:t xml:space="preserve"> </w:t>
      </w:r>
      <w:r>
        <w:t xml:space="preserve">“Founding Ten”</w:t>
      </w:r>
      <w:r>
        <w:t xml:space="preserve"> </w:t>
      </w:r>
      <w:r>
        <w:t xml:space="preserve">programme. Each Founding Ten partner runs their own coaching business on a branded instance of the platform, powered by Body Recode’s engine and doctrine.</w:t>
      </w:r>
    </w:p>
    <w:p>
      <w:pPr>
        <w:pStyle w:val="BodyText"/>
      </w:pPr>
      <w:r>
        <w:t xml:space="preserve">C. Partner is one of the ten. Partner and Body Recode wish to record the terms on which Partner uses the platform and pays Body Recode.</w:t>
      </w:r>
    </w:p>
    <w:p>
      <w:pPr>
        <w:pStyle w:val="BodyText"/>
      </w:pPr>
      <w:r>
        <w:t xml:space="preserve">D. This Agreement is accompanied by an IP Licence Deed dated the same date (</w:t>
      </w:r>
      <w:r>
        <w:rPr>
          <w:b/>
          <w:bCs/>
        </w:rPr>
        <w:t xml:space="preserve">Licence Deed</w:t>
      </w:r>
      <w:r>
        <w:t xml:space="preserve">). Both documents form one commercial package and must be signed together.</w:t>
      </w:r>
    </w:p>
    <w:p>
      <w:r>
        <w:pict>
          <v:rect style="width:0;height:1.5pt" o:hralign="center" o:hrstd="t" o:hr="t"/>
        </w:pict>
      </w:r>
    </w:p>
    <w:bookmarkEnd w:id="9"/>
    <w:bookmarkStart w:id="10" w:name="agreed-terms"/>
    <w:p>
      <w:pPr>
        <w:pStyle w:val="Heading2"/>
      </w:pPr>
      <w:r>
        <w:t xml:space="preserve">AGREED TERMS</w:t>
      </w:r>
    </w:p>
    <w:bookmarkEnd w:id="10"/>
    <w:bookmarkStart w:id="11" w:name="definitions"/>
    <w:p>
      <w:pPr>
        <w:pStyle w:val="Heading2"/>
      </w:pPr>
      <w:r>
        <w:t xml:space="preserve">1. DEFINITIONS</w:t>
      </w:r>
    </w:p>
    <w:p>
      <w:pPr>
        <w:pStyle w:val="FirstParagraph"/>
      </w:pPr>
      <w:r>
        <w:t xml:space="preserve">In this Agreement, unless the context otherwise requires:</w:t>
      </w:r>
    </w:p>
    <w:p>
      <w:pPr>
        <w:pStyle w:val="BodyText"/>
      </w:pPr>
      <w:r>
        <w:rPr>
          <w:b/>
          <w:bCs/>
        </w:rPr>
        <w:t xml:space="preserve">Active Client</w:t>
      </w:r>
      <w:r>
        <w:t xml:space="preserve"> </w:t>
      </w:r>
      <w:r>
        <w:t xml:space="preserve">means a coaching client on Partner’s Instance who, within any calendar month, has (i) an active subscription, program, or engagement with Partner, or (ii) submitted a Weekly Check-In, intake, or other tenant-scoped record.</w:t>
      </w:r>
    </w:p>
    <w:p>
      <w:pPr>
        <w:pStyle w:val="BodyText"/>
      </w:pPr>
      <w:r>
        <w:rPr>
          <w:b/>
          <w:bCs/>
        </w:rPr>
        <w:t xml:space="preserve">Business Day</w:t>
      </w:r>
      <w:r>
        <w:t xml:space="preserve"> </w:t>
      </w:r>
      <w:r>
        <w:t xml:space="preserve">means a day other than a Saturday, Sunday, or public holiday in Brisbane, Queensland.</w:t>
      </w:r>
    </w:p>
    <w:p>
      <w:pPr>
        <w:pStyle w:val="BodyText"/>
      </w:pPr>
      <w:r>
        <w:rPr>
          <w:b/>
          <w:bCs/>
        </w:rPr>
        <w:t xml:space="preserve">Client Data</w:t>
      </w:r>
      <w:r>
        <w:t xml:space="preserve"> </w:t>
      </w:r>
      <w:r>
        <w:t xml:space="preserve">means all data relating to Partner’s clients that is stored on, generated by, or processed through Partner’s Instance.</w:t>
      </w:r>
    </w:p>
    <w:p>
      <w:pPr>
        <w:pStyle w:val="BodyText"/>
      </w:pPr>
      <w:r>
        <w:rPr>
          <w:b/>
          <w:bCs/>
        </w:rPr>
        <w:t xml:space="preserve">Commencement Date</w:t>
      </w:r>
      <w:r>
        <w:t xml:space="preserve"> </w:t>
      </w:r>
      <w:r>
        <w:t xml:space="preserve">means the date this Agreement is signed by both Parties, or such other date as recorded in Item 1 of Schedule 1.</w:t>
      </w:r>
    </w:p>
    <w:p>
      <w:pPr>
        <w:pStyle w:val="BodyText"/>
      </w:pPr>
      <w:r>
        <w:rPr>
          <w:b/>
          <w:bCs/>
        </w:rPr>
        <w:t xml:space="preserve">Doctrine</w:t>
      </w:r>
      <w:r>
        <w:t xml:space="preserve"> </w:t>
      </w:r>
      <w:r>
        <w:t xml:space="preserve">means the interpretation rules, safety floors, and clinical logic encoded in the Engine and its supporting documentation, as maintained and updated by Body Recode.</w:t>
      </w:r>
    </w:p>
    <w:p>
      <w:pPr>
        <w:pStyle w:val="BodyText"/>
      </w:pPr>
      <w:r>
        <w:rPr>
          <w:b/>
          <w:bCs/>
        </w:rPr>
        <w:t xml:space="preserve">Doctrine Mode A</w:t>
      </w:r>
      <w:r>
        <w:t xml:space="preserve"> </w:t>
      </w:r>
      <w:r>
        <w:t xml:space="preserve">means the operating mode where the Engine runs Body Recode’s Doctrine without modification, branded under Partner’s brand. Doctrine Mode A applies to all Founding Ten partners unless expressly changed in writing.</w:t>
      </w:r>
    </w:p>
    <w:p>
      <w:pPr>
        <w:pStyle w:val="BodyText"/>
      </w:pPr>
      <w:r>
        <w:rPr>
          <w:b/>
          <w:bCs/>
        </w:rPr>
        <w:t xml:space="preserve">Engine</w:t>
      </w:r>
      <w:r>
        <w:t xml:space="preserve"> </w:t>
      </w:r>
      <w:r>
        <w:t xml:space="preserve">means Body Recode’s interpretation engine, comprising the algorithms, prompts, machine learning models, and Doctrine used to read a client’s state and produce coaching direction. The Engine is Layer 1 IP under the Licence Deed and is not licensed except by API access under this Agreement.</w:t>
      </w:r>
    </w:p>
    <w:p>
      <w:pPr>
        <w:pStyle w:val="BodyText"/>
      </w:pPr>
      <w:r>
        <w:rPr>
          <w:b/>
          <w:bCs/>
        </w:rPr>
        <w:t xml:space="preserve">Fees</w:t>
      </w:r>
      <w:r>
        <w:t xml:space="preserve"> </w:t>
      </w:r>
      <w:r>
        <w:t xml:space="preserve">means the setup fee, subscription fee, and per-active-client fee set out in Schedule 1.</w:t>
      </w:r>
    </w:p>
    <w:p>
      <w:pPr>
        <w:pStyle w:val="BodyText"/>
      </w:pPr>
      <w:r>
        <w:rPr>
          <w:b/>
          <w:bCs/>
        </w:rPr>
        <w:t xml:space="preserve">Founding Ten Discount</w:t>
      </w:r>
      <w:r>
        <w:t xml:space="preserve"> </w:t>
      </w:r>
      <w:r>
        <w:t xml:space="preserve">means the reduced setup fee and locked subscription rate available to the first ten Founding Ten partners, as recorded in Schedule 1.</w:t>
      </w:r>
    </w:p>
    <w:p>
      <w:pPr>
        <w:pStyle w:val="BodyText"/>
      </w:pPr>
      <w:r>
        <w:rPr>
          <w:b/>
          <w:bCs/>
        </w:rPr>
        <w:t xml:space="preserve">Hard Safety Floors</w:t>
      </w:r>
      <w:r>
        <w:t xml:space="preserve"> </w:t>
      </w:r>
      <w:r>
        <w:t xml:space="preserve">means the safety limits set out in Schedule 3 including but not limited to RRS clamps, Fat Map training limits, injury contraindications, and eligibility floors. Hard Safety Floors cannot be overridden by Partner.</w:t>
      </w:r>
    </w:p>
    <w:p>
      <w:pPr>
        <w:pStyle w:val="BodyText"/>
      </w:pPr>
      <w:r>
        <w:rPr>
          <w:b/>
          <w:bCs/>
        </w:rPr>
        <w:t xml:space="preserve">Instance</w:t>
      </w:r>
      <w:r>
        <w:t xml:space="preserve"> </w:t>
      </w:r>
      <w:r>
        <w:t xml:space="preserve">means the tenant-scoped instance of the Platform provisioned for Partner, including Partner’s tenant configuration, branding, domain routing, and Client Data.</w:t>
      </w:r>
    </w:p>
    <w:p>
      <w:pPr>
        <w:pStyle w:val="BodyText"/>
      </w:pPr>
      <w:r>
        <w:rPr>
          <w:b/>
          <w:bCs/>
        </w:rPr>
        <w:t xml:space="preserve">Layer 1 IP</w:t>
      </w:r>
      <w:r>
        <w:t xml:space="preserve"> </w:t>
      </w:r>
      <w:r>
        <w:t xml:space="preserve">has the meaning given in the Licence Deed. In summary, it is the Engine and Doctrine.</w:t>
      </w:r>
    </w:p>
    <w:p>
      <w:pPr>
        <w:pStyle w:val="BodyText"/>
      </w:pPr>
      <w:r>
        <w:rPr>
          <w:b/>
          <w:bCs/>
        </w:rPr>
        <w:t xml:space="preserve">Layer 2 IP</w:t>
      </w:r>
      <w:r>
        <w:t xml:space="preserve"> </w:t>
      </w:r>
      <w:r>
        <w:t xml:space="preserve">has the meaning given in the Licence Deed. In summary, it is the coaching web application and its supporting infrastructure.</w:t>
      </w:r>
    </w:p>
    <w:p>
      <w:pPr>
        <w:pStyle w:val="BodyText"/>
      </w:pPr>
      <w:r>
        <w:rPr>
          <w:b/>
          <w:bCs/>
        </w:rPr>
        <w:t xml:space="preserve">Modality</w:t>
      </w:r>
      <w:r>
        <w:t xml:space="preserve"> </w:t>
      </w:r>
      <w:r>
        <w:t xml:space="preserve">means the training discipline within which Partner delivers coaching, being one of the Modalities defined in Schedule 4 (currently: strength / performance coaching, or yoga / movement).</w:t>
      </w:r>
    </w:p>
    <w:p>
      <w:pPr>
        <w:pStyle w:val="BodyText"/>
      </w:pPr>
      <w:r>
        <w:rPr>
          <w:b/>
          <w:bCs/>
        </w:rPr>
        <w:t xml:space="preserve">Partner Client</w:t>
      </w:r>
      <w:r>
        <w:t xml:space="preserve"> </w:t>
      </w:r>
      <w:r>
        <w:t xml:space="preserve">means a natural person who has entered into a coaching arrangement with Partner (whether paid or free) and interacts with Partner via the Instance.</w:t>
      </w:r>
    </w:p>
    <w:p>
      <w:pPr>
        <w:pStyle w:val="BodyText"/>
      </w:pPr>
      <w:r>
        <w:rPr>
          <w:b/>
          <w:bCs/>
        </w:rPr>
        <w:t xml:space="preserve">Platform</w:t>
      </w:r>
      <w:r>
        <w:t xml:space="preserve"> </w:t>
      </w:r>
      <w:r>
        <w:t xml:space="preserve">means the coaching web application operated by Body Recode, comprising Layer 2 IP and providing tenant-scoped access to the Engine via the API.</w:t>
      </w:r>
    </w:p>
    <w:p>
      <w:pPr>
        <w:pStyle w:val="BodyText"/>
      </w:pPr>
      <w:r>
        <w:rPr>
          <w:b/>
          <w:bCs/>
        </w:rPr>
        <w:t xml:space="preserve">Powered by Body Recode Mark</w:t>
      </w:r>
      <w:r>
        <w:t xml:space="preserve"> </w:t>
      </w:r>
      <w:r>
        <w:t xml:space="preserve">means the trade mark and lockup set out in Schedule 2 of the Licence Deed, use of which is optional for Partner.</w:t>
      </w:r>
    </w:p>
    <w:p>
      <w:pPr>
        <w:pStyle w:val="BodyText"/>
      </w:pPr>
      <w:r>
        <w:rPr>
          <w:b/>
          <w:bCs/>
        </w:rPr>
        <w:t xml:space="preserve">Term</w:t>
      </w:r>
      <w:r>
        <w:t xml:space="preserve"> </w:t>
      </w:r>
      <w:r>
        <w:t xml:space="preserve">has the meaning given in clause 4.</w:t>
      </w:r>
    </w:p>
    <w:bookmarkEnd w:id="11"/>
    <w:bookmarkStart w:id="12" w:name="package-structure"/>
    <w:p>
      <w:pPr>
        <w:pStyle w:val="Heading2"/>
      </w:pPr>
      <w:r>
        <w:t xml:space="preserve">2. PACKAGE STRUCTURE</w:t>
      </w:r>
    </w:p>
    <w:p>
      <w:pPr>
        <w:pStyle w:val="FirstParagraph"/>
      </w:pPr>
      <w:r>
        <w:t xml:space="preserve">2.1 This Agreement and the Licence Deed form one commercial package. Partner may not sign one without the other.</w:t>
      </w:r>
    </w:p>
    <w:p>
      <w:pPr>
        <w:pStyle w:val="BodyText"/>
      </w:pPr>
      <w:r>
        <w:t xml:space="preserve">2.2 If there is any inconsistency between this Agreement and the Licence Deed:</w:t>
      </w:r>
      <w:r>
        <w:t xml:space="preserve"> </w:t>
      </w:r>
      <w:r>
        <w:t xml:space="preserve">(a) on IP scope and use, the Licence Deed prevails;</w:t>
      </w:r>
      <w:r>
        <w:t xml:space="preserve"> </w:t>
      </w:r>
      <w:r>
        <w:t xml:space="preserve">(b) on all other matters, this Agreement prevails.</w:t>
      </w:r>
    </w:p>
    <w:bookmarkEnd w:id="12"/>
    <w:bookmarkStart w:id="13" w:name="founding-ten-status"/>
    <w:p>
      <w:pPr>
        <w:pStyle w:val="Heading2"/>
      </w:pPr>
      <w:r>
        <w:t xml:space="preserve">3. FOUNDING TEN STATUS</w:t>
      </w:r>
    </w:p>
    <w:p>
      <w:pPr>
        <w:pStyle w:val="FirstParagraph"/>
      </w:pPr>
      <w:r>
        <w:t xml:space="preserve">3.1 Body Recode grants Partner status as one of the Founding Ten partners in the Body Recode Founding Ten programme.</w:t>
      </w:r>
    </w:p>
    <w:p>
      <w:pPr>
        <w:pStyle w:val="BodyText"/>
      </w:pPr>
      <w:r>
        <w:t xml:space="preserve">3.2 Founding Ten status entitles Partner to:</w:t>
      </w:r>
      <w:r>
        <w:t xml:space="preserve"> </w:t>
      </w:r>
      <w:r>
        <w:t xml:space="preserve">(a) the Founding Ten Discount as recorded in Schedule 1;</w:t>
      </w:r>
      <w:r>
        <w:t xml:space="preserve"> </w:t>
      </w:r>
      <w:r>
        <w:t xml:space="preserve">(b) a subscription rate that is locked for life at the founding rate, subject only to clause 6.7;</w:t>
      </w:r>
      <w:r>
        <w:t xml:space="preserve"> </w:t>
      </w:r>
      <w:r>
        <w:t xml:space="preserve">(c) direct roadmap input, meaning Partner may participate in the quarterly product roadmap review;</w:t>
      </w:r>
      <w:r>
        <w:t xml:space="preserve"> </w:t>
      </w:r>
      <w:r>
        <w:t xml:space="preserve">(d) first access to new features and modality packs before general release; and</w:t>
      </w:r>
      <w:r>
        <w:t xml:space="preserve"> </w:t>
      </w:r>
      <w:r>
        <w:t xml:space="preserve">(e) mutual case study and marketing rights, meaning either Party may reference the other in case studies, testimonials, and marketing subject to prior written approval of the specific content.</w:t>
      </w:r>
    </w:p>
    <w:p>
      <w:pPr>
        <w:pStyle w:val="BodyText"/>
      </w:pPr>
      <w:r>
        <w:t xml:space="preserve">3.3 Founding Ten status is personal to Partner. It does not transfer with a sale or assignment of Partner’s business except with Body Recode’s prior written consent.</w:t>
      </w:r>
    </w:p>
    <w:p>
      <w:pPr>
        <w:pStyle w:val="BodyText"/>
      </w:pPr>
      <w:r>
        <w:t xml:space="preserve">3.4 The Founding Ten programme is capped at ten partners. Once ten partners have executed a Founding Partner Agreement, the programme is closed to new members. Later partners will be offered the standard (non-founding) rate.</w:t>
      </w:r>
    </w:p>
    <w:bookmarkEnd w:id="13"/>
    <w:bookmarkStart w:id="14" w:name="term"/>
    <w:p>
      <w:pPr>
        <w:pStyle w:val="Heading2"/>
      </w:pPr>
      <w:r>
        <w:t xml:space="preserve">4. TERM</w:t>
      </w:r>
    </w:p>
    <w:p>
      <w:pPr>
        <w:pStyle w:val="FirstParagraph"/>
      </w:pPr>
      <w:r>
        <w:t xml:space="preserve">4.1 This Agreement commences on the Commencement Date and continues for an initial term of twelve (12) months (</w:t>
      </w:r>
      <w:r>
        <w:rPr>
          <w:b/>
          <w:bCs/>
        </w:rPr>
        <w:t xml:space="preserve">Initial Term</w:t>
      </w:r>
      <w:r>
        <w:t xml:space="preserve">).</w:t>
      </w:r>
    </w:p>
    <w:p>
      <w:pPr>
        <w:pStyle w:val="BodyText"/>
      </w:pPr>
      <w:r>
        <w:t xml:space="preserve">4.2 On expiry of the Initial Term, this Agreement renews for successive rolling one (1) month periods (</w:t>
      </w:r>
      <w:r>
        <w:rPr>
          <w:b/>
          <w:bCs/>
        </w:rPr>
        <w:t xml:space="preserve">Renewal Periods</w:t>
      </w:r>
      <w:r>
        <w:t xml:space="preserve">) unless terminated in accordance with clause 14.</w:t>
      </w:r>
    </w:p>
    <w:p>
      <w:pPr>
        <w:pStyle w:val="BodyText"/>
      </w:pPr>
      <w:r>
        <w:t xml:space="preserve">4.3 The Initial Term and any Renewal Periods together are the</w:t>
      </w:r>
      <w:r>
        <w:t xml:space="preserve"> </w:t>
      </w:r>
      <w:r>
        <w:rPr>
          <w:b/>
          <w:bCs/>
        </w:rPr>
        <w:t xml:space="preserve">Term</w:t>
      </w:r>
      <w:r>
        <w:t xml:space="preserve">.</w:t>
      </w:r>
    </w:p>
    <w:bookmarkEnd w:id="14"/>
    <w:bookmarkStart w:id="15" w:name="services"/>
    <w:p>
      <w:pPr>
        <w:pStyle w:val="Heading2"/>
      </w:pPr>
      <w:r>
        <w:t xml:space="preserve">5. SERVICES</w:t>
      </w:r>
    </w:p>
    <w:p>
      <w:pPr>
        <w:pStyle w:val="FirstParagraph"/>
      </w:pPr>
      <w:r>
        <w:t xml:space="preserve">5.1 During the Term, Body Recode will:</w:t>
      </w:r>
    </w:p>
    <w:p>
      <w:pPr>
        <w:pStyle w:val="Compact"/>
        <w:numPr>
          <w:ilvl w:val="0"/>
          <w:numId w:val="1001"/>
        </w:numPr>
      </w:pPr>
      <w:r>
        <w:t xml:space="preserve">provision the Instance under Partner’s chosen domain and branding, per the Phase 2 Tenant Deployment Checklist;</w:t>
      </w:r>
    </w:p>
    <w:p>
      <w:pPr>
        <w:pStyle w:val="Compact"/>
        <w:numPr>
          <w:ilvl w:val="0"/>
          <w:numId w:val="1001"/>
        </w:numPr>
      </w:pPr>
      <w:r>
        <w:t xml:space="preserve">make the Platform available on a substantially continuous basis, subject to reasonable maintenance windows;</w:t>
      </w:r>
    </w:p>
    <w:p>
      <w:pPr>
        <w:pStyle w:val="Compact"/>
        <w:numPr>
          <w:ilvl w:val="0"/>
          <w:numId w:val="1001"/>
        </w:numPr>
      </w:pPr>
      <w:r>
        <w:t xml:space="preserve">provide Partner access to the Engine via the Platform API on a tenant-scoped basis;</w:t>
      </w:r>
    </w:p>
    <w:p>
      <w:pPr>
        <w:pStyle w:val="Compact"/>
        <w:numPr>
          <w:ilvl w:val="0"/>
          <w:numId w:val="1001"/>
        </w:numPr>
      </w:pPr>
      <w:r>
        <w:t xml:space="preserve">provide reasonable onboarding, training, and support (</w:t>
      </w:r>
      <w:r>
        <w:rPr>
          <w:b/>
          <w:bCs/>
        </w:rPr>
        <w:t xml:space="preserve">Support</w:t>
      </w:r>
      <w:r>
        <w:t xml:space="preserve">) as described in Schedule 2;</w:t>
      </w:r>
    </w:p>
    <w:p>
      <w:pPr>
        <w:pStyle w:val="Compact"/>
        <w:numPr>
          <w:ilvl w:val="0"/>
          <w:numId w:val="1001"/>
        </w:numPr>
      </w:pPr>
      <w:r>
        <w:t xml:space="preserve">release feature updates and modality pack updates to Partner on the same day (or earlier) as to non-Founding partners;</w:t>
      </w:r>
    </w:p>
    <w:p>
      <w:pPr>
        <w:pStyle w:val="Compact"/>
        <w:numPr>
          <w:ilvl w:val="0"/>
          <w:numId w:val="1001"/>
        </w:numPr>
      </w:pPr>
      <w:r>
        <w:t xml:space="preserve">maintain the Doctrine and Hard Safety Floors, notifying Partner in advance of material changes; and</w:t>
      </w:r>
    </w:p>
    <w:p>
      <w:pPr>
        <w:pStyle w:val="Compact"/>
        <w:numPr>
          <w:ilvl w:val="0"/>
          <w:numId w:val="1001"/>
        </w:numPr>
      </w:pPr>
      <w:r>
        <w:t xml:space="preserve">provide monthly reporting of Partner’s Active Client count for billing purposes.</w:t>
      </w:r>
    </w:p>
    <w:p>
      <w:pPr>
        <w:pStyle w:val="FirstParagraph"/>
      </w:pPr>
      <w:r>
        <w:t xml:space="preserve">5.2 Body Recode does not warrant uninterrupted availability. Body Recode uses commercially reasonable endeavours to maintain uptime and to remediate outages promptly. There is no service level agreement (SLA) with fixed remedies attached to this Agreement in v0.1. [LEGAL REVIEW: recommend adding a target 99.5% monthly uptime with pro-rata subscription credit for months below target.]</w:t>
      </w:r>
    </w:p>
    <w:p>
      <w:pPr>
        <w:pStyle w:val="BodyText"/>
      </w:pPr>
      <w:r>
        <w:t xml:space="preserve">5.3 Support does not include:</w:t>
      </w:r>
      <w:r>
        <w:t xml:space="preserve"> </w:t>
      </w:r>
      <w:r>
        <w:t xml:space="preserve">(a) coaching content advice or clinical judgement about a specific Partner Client;</w:t>
      </w:r>
      <w:r>
        <w:t xml:space="preserve"> </w:t>
      </w:r>
      <w:r>
        <w:t xml:space="preserve">(b) marketing services or funnel copywriting (available as an optional add-on);</w:t>
      </w:r>
      <w:r>
        <w:t xml:space="preserve"> </w:t>
      </w:r>
      <w:r>
        <w:t xml:space="preserve">(c) integrations Partner requests outside the platform’s standard integration surface.</w:t>
      </w:r>
    </w:p>
    <w:bookmarkEnd w:id="15"/>
    <w:bookmarkStart w:id="16" w:name="fees"/>
    <w:p>
      <w:pPr>
        <w:pStyle w:val="Heading2"/>
      </w:pPr>
      <w:r>
        <w:t xml:space="preserve">6. FEES</w:t>
      </w:r>
    </w:p>
    <w:p>
      <w:pPr>
        <w:pStyle w:val="FirstParagraph"/>
      </w:pPr>
      <w:r>
        <w:t xml:space="preserve">6.1 Partner will pay Body Recode the Fees in accordance with Schedule 1.</w:t>
      </w:r>
    </w:p>
    <w:p>
      <w:pPr>
        <w:pStyle w:val="BodyText"/>
      </w:pPr>
      <w:r>
        <w:t xml:space="preserve">6.2 The setup fee is payable on the Commencement Date and is non-refundable.</w:t>
      </w:r>
    </w:p>
    <w:p>
      <w:pPr>
        <w:pStyle w:val="BodyText"/>
      </w:pPr>
      <w:r>
        <w:t xml:space="preserve">6.3 The monthly subscription fee is payable monthly in advance by direct debit or automatic card payment, invoiced on the Commencement Date and each subsequent monthly anniversary.</w:t>
      </w:r>
    </w:p>
    <w:p>
      <w:pPr>
        <w:pStyle w:val="BodyText"/>
      </w:pPr>
      <w:r>
        <w:t xml:space="preserve">6.4 The per-Active-Client fee is calculated monthly in arrears based on Partner’s Active Client count for the preceding calendar month, invoiced on the first Business Day of the following month, and payable within seven (7) days of the invoice date.</w:t>
      </w:r>
    </w:p>
    <w:p>
      <w:pPr>
        <w:pStyle w:val="BodyText"/>
      </w:pPr>
      <w:r>
        <w:t xml:space="preserve">6.5 All Fees are in Australian Dollars and are exclusive of GST unless expressly stated. GST will be added at the prevailing rate and shown separately on tax invoices.</w:t>
      </w:r>
    </w:p>
    <w:p>
      <w:pPr>
        <w:pStyle w:val="BodyText"/>
      </w:pPr>
      <w:r>
        <w:t xml:space="preserve">6.6 If Partner does not pay any invoice within seven (7) days of the due date, Body Recode may (a) charge interest at 2% above the Reserve Bank of Australia cash rate compounded daily, and (b) after fourteen (14) days of continued non-payment, suspend Partner’s access to the Instance until arrears are paid.</w:t>
      </w:r>
    </w:p>
    <w:p>
      <w:pPr>
        <w:pStyle w:val="BodyText"/>
      </w:pPr>
      <w:r>
        <w:t xml:space="preserve">6.7 The Founding Ten Discount and locked subscription rate apply for the life of Partner’s continuous participation in the Founding Ten programme. If this Agreement terminates and Partner later re-enters, the applicable rate at re-entry is Body Recode’s then-current standard rate, not the founding rate.</w:t>
      </w:r>
    </w:p>
    <w:p>
      <w:pPr>
        <w:pStyle w:val="BodyText"/>
      </w:pPr>
      <w:r>
        <w:t xml:space="preserve">6.8 Partner is responsible for setting and collecting all fees payable by Partner’s Clients to Partner. Partner’s Client fees are not routed through Body Recode’s Stripe account. Partner uses its own Stripe Connect account or equivalent payment infrastructure.</w:t>
      </w:r>
    </w:p>
    <w:bookmarkEnd w:id="16"/>
    <w:bookmarkStart w:id="17" w:name="partner-obligations"/>
    <w:p>
      <w:pPr>
        <w:pStyle w:val="Heading2"/>
      </w:pPr>
      <w:r>
        <w:t xml:space="preserve">7. PARTNER OBLIGATIONS</w:t>
      </w:r>
    </w:p>
    <w:p>
      <w:pPr>
        <w:pStyle w:val="FirstParagraph"/>
      </w:pPr>
      <w:r>
        <w:t xml:space="preserve">7.1 During the Term, Partner will:</w:t>
      </w:r>
    </w:p>
    <w:p>
      <w:pPr>
        <w:pStyle w:val="Compact"/>
        <w:numPr>
          <w:ilvl w:val="0"/>
          <w:numId w:val="1002"/>
        </w:numPr>
      </w:pPr>
      <w:r>
        <w:t xml:space="preserve">run its Instance in Doctrine Mode A unless a change is expressly agreed in writing;</w:t>
      </w:r>
    </w:p>
    <w:p>
      <w:pPr>
        <w:pStyle w:val="Compact"/>
        <w:numPr>
          <w:ilvl w:val="0"/>
          <w:numId w:val="1002"/>
        </w:numPr>
      </w:pPr>
      <w:r>
        <w:t xml:space="preserve">not attempt to override or circumvent the Hard Safety Floors;</w:t>
      </w:r>
    </w:p>
    <w:p>
      <w:pPr>
        <w:pStyle w:val="Compact"/>
        <w:numPr>
          <w:ilvl w:val="0"/>
          <w:numId w:val="1002"/>
        </w:numPr>
      </w:pPr>
      <w:r>
        <w:t xml:space="preserve">maintain the professional and ethical standards reasonable for a coaching business in Partner’s Modality, including maintaining current qualifications, insurances, and registrations where required by law;</w:t>
      </w:r>
    </w:p>
    <w:p>
      <w:pPr>
        <w:pStyle w:val="Compact"/>
        <w:numPr>
          <w:ilvl w:val="0"/>
          <w:numId w:val="1002"/>
        </w:numPr>
      </w:pPr>
      <w:r>
        <w:t xml:space="preserve">not offer coaching services on the Instance in any Modality other than the Modality recorded in Schedule 4;</w:t>
      </w:r>
    </w:p>
    <w:p>
      <w:pPr>
        <w:pStyle w:val="Compact"/>
        <w:numPr>
          <w:ilvl w:val="0"/>
          <w:numId w:val="1002"/>
        </w:numPr>
      </w:pPr>
      <w:r>
        <w:t xml:space="preserve">comply with all applicable laws in delivering coaching services, including the Health Practitioner Regulation National Law (where applicable), the Privacy Act 1988 (Cth), the Australian Consumer Law, and any applicable industry code;</w:t>
      </w:r>
    </w:p>
    <w:p>
      <w:pPr>
        <w:pStyle w:val="Compact"/>
        <w:numPr>
          <w:ilvl w:val="0"/>
          <w:numId w:val="1002"/>
        </w:numPr>
      </w:pPr>
      <w:r>
        <w:t xml:space="preserve">not use the Instance to deliver services that fall outside coaching, including medical diagnosis or treatment, mental health therapy, financial advice, or legal advice;</w:t>
      </w:r>
    </w:p>
    <w:p>
      <w:pPr>
        <w:pStyle w:val="Compact"/>
        <w:numPr>
          <w:ilvl w:val="0"/>
          <w:numId w:val="1002"/>
        </w:numPr>
      </w:pPr>
      <w:r>
        <w:t xml:space="preserve">hold and maintain appropriate professional indemnity insurance (minimum AUD $[__] per claim) and public liability insurance (minimum AUD $[__]) for the duration of the Term; [LEGAL REVIEW: recommend $2m/$5m for professional coaching context.]</w:t>
      </w:r>
    </w:p>
    <w:p>
      <w:pPr>
        <w:pStyle w:val="Compact"/>
        <w:numPr>
          <w:ilvl w:val="0"/>
          <w:numId w:val="1002"/>
        </w:numPr>
      </w:pPr>
      <w:r>
        <w:t xml:space="preserve">respond promptly to Partner Client complaints and inquiries; and</w:t>
      </w:r>
    </w:p>
    <w:p>
      <w:pPr>
        <w:pStyle w:val="Compact"/>
        <w:numPr>
          <w:ilvl w:val="0"/>
          <w:numId w:val="1002"/>
        </w:numPr>
      </w:pPr>
      <w:r>
        <w:t xml:space="preserve">provide Body Recode with reasonable operational data (excluding Partner Client identifying information beyond what is necessary) for billing, product development, and Founding Ten roadmap purposes.</w:t>
      </w:r>
    </w:p>
    <w:p>
      <w:pPr>
        <w:pStyle w:val="FirstParagraph"/>
      </w:pPr>
      <w:r>
        <w:t xml:space="preserve">7.2 Partner acknowledges that the Engine provides interpretation and coaching direction based on the Doctrine, and that Partner retains full prescriptive authority for the specific coaching direction delivered to any Partner Client. Partner is responsible for reviewing, editing, approving, and publishing all coaching plans, readings, and recommendations before they reach a Partner Client. The Engine’s output is a starting point, not a final prescription.</w:t>
      </w:r>
    </w:p>
    <w:bookmarkEnd w:id="17"/>
    <w:bookmarkStart w:id="18" w:name="platform-access-and-use"/>
    <w:p>
      <w:pPr>
        <w:pStyle w:val="Heading2"/>
      </w:pPr>
      <w:r>
        <w:t xml:space="preserve">8. PLATFORM ACCESS AND USE</w:t>
      </w:r>
    </w:p>
    <w:p>
      <w:pPr>
        <w:pStyle w:val="FirstParagraph"/>
      </w:pPr>
      <w:r>
        <w:t xml:space="preserve">8.1 Body Recode will issue Partner with primary login credentials for the Instance. Partner may create sub-user accounts for Partner’s employees, contractors, or agents (</w:t>
      </w:r>
      <w:r>
        <w:rPr>
          <w:b/>
          <w:bCs/>
        </w:rPr>
        <w:t xml:space="preserve">Sub-Users</w:t>
      </w:r>
      <w:r>
        <w:t xml:space="preserve">), subject to a maximum of [__] Sub-Users at any time. [LEGAL REVIEW: cap number or leave open?]</w:t>
      </w:r>
    </w:p>
    <w:p>
      <w:pPr>
        <w:pStyle w:val="BodyText"/>
      </w:pPr>
      <w:r>
        <w:t xml:space="preserve">8.2 Partner is responsible for the acts and omissions of its Sub-Users as if they were Partner’s own.</w:t>
      </w:r>
    </w:p>
    <w:p>
      <w:pPr>
        <w:pStyle w:val="BodyText"/>
      </w:pPr>
      <w:r>
        <w:t xml:space="preserve">8.3 Partner will not:</w:t>
      </w:r>
      <w:r>
        <w:t xml:space="preserve"> </w:t>
      </w:r>
      <w:r>
        <w:t xml:space="preserve">(a) permit any third party (other than Sub-Users) to access the Instance;</w:t>
      </w:r>
      <w:r>
        <w:t xml:space="preserve"> </w:t>
      </w:r>
      <w:r>
        <w:t xml:space="preserve">(b) share credentials, screen shares, or session recordings that expose the Instance beyond Partner’s authorised users;</w:t>
      </w:r>
      <w:r>
        <w:t xml:space="preserve"> </w:t>
      </w:r>
      <w:r>
        <w:t xml:space="preserve">(c) probe, scan, or attempt to test the vulnerability of any part of the Platform;</w:t>
      </w:r>
      <w:r>
        <w:t xml:space="preserve"> </w:t>
      </w:r>
      <w:r>
        <w:t xml:space="preserve">(d) reverse engineer, decompile, disassemble, or otherwise attempt to derive the source code of any part of the Platform, or any part of the Engine (as further restricted in the Licence Deed);</w:t>
      </w:r>
      <w:r>
        <w:t xml:space="preserve"> </w:t>
      </w:r>
      <w:r>
        <w:t xml:space="preserve">(e) resell, sublicense, or make available access to the Platform or the Instance to any third party except as expressly permitted; or</w:t>
      </w:r>
      <w:r>
        <w:t xml:space="preserve"> </w:t>
      </w:r>
      <w:r>
        <w:t xml:space="preserve">(f) use the Platform to provide services in competition with Body Recode’s own coaching business (subject to clause 8.4).</w:t>
      </w:r>
    </w:p>
    <w:p>
      <w:pPr>
        <w:pStyle w:val="BodyText"/>
      </w:pPr>
      <w:r>
        <w:t xml:space="preserve">8.4 Nothing in clause 8.3(f) prevents Partner from providing coaching services that overlap in subject matter with Body Recode’s own coaching. Partner’s business is coaching. Partner is expected to coach. The prohibition is on using the Platform infrastructure to compete with Body Recode’s Platform-provision business (e.g. reselling the Platform).</w:t>
      </w:r>
    </w:p>
    <w:bookmarkEnd w:id="18"/>
    <w:bookmarkStart w:id="19" w:name="data-and-privacy"/>
    <w:p>
      <w:pPr>
        <w:pStyle w:val="Heading2"/>
      </w:pPr>
      <w:r>
        <w:t xml:space="preserve">9. DATA AND PRIVACY</w:t>
      </w:r>
    </w:p>
    <w:p>
      <w:pPr>
        <w:pStyle w:val="FirstParagraph"/>
      </w:pPr>
      <w:r>
        <w:t xml:space="preserve">9.1 As between the Parties:</w:t>
      </w:r>
      <w:r>
        <w:t xml:space="preserve"> </w:t>
      </w:r>
      <w:r>
        <w:t xml:space="preserve">(a) Partner is the primary controller of Client Data on Partner’s Instance and is responsible to Partner Clients for the collection, use, storage, and disclosure of Client Data;</w:t>
      </w:r>
      <w:r>
        <w:t xml:space="preserve"> </w:t>
      </w:r>
      <w:r>
        <w:t xml:space="preserve">(b) Body Recode acts as data processor in relation to Client Data, processing it only on Partner’s documented instructions and for the purposes of providing the Services and the Engine.</w:t>
      </w:r>
    </w:p>
    <w:p>
      <w:pPr>
        <w:pStyle w:val="BodyText"/>
      </w:pPr>
      <w:r>
        <w:t xml:space="preserve">9.2 Partner represents that:</w:t>
      </w:r>
      <w:r>
        <w:t xml:space="preserve"> </w:t>
      </w:r>
      <w:r>
        <w:t xml:space="preserve">(a) Partner has a compliant privacy collection notice presented to Partner Clients at the point of collection;</w:t>
      </w:r>
      <w:r>
        <w:t xml:space="preserve"> </w:t>
      </w:r>
      <w:r>
        <w:t xml:space="preserve">(b) Partner has valid consent (or another lawful basis) for the collection, use, and processing of Client Data via the Instance; and</w:t>
      </w:r>
      <w:r>
        <w:t xml:space="preserve"> </w:t>
      </w:r>
      <w:r>
        <w:t xml:space="preserve">(c) Partner’s privacy notice discloses that Client Data is processed on a third-party platform provided by Body Recode.</w:t>
      </w:r>
    </w:p>
    <w:p>
      <w:pPr>
        <w:pStyle w:val="BodyText"/>
      </w:pPr>
      <w:r>
        <w:t xml:space="preserve">9.3 Body Recode will:</w:t>
      </w:r>
      <w:r>
        <w:t xml:space="preserve"> </w:t>
      </w:r>
      <w:r>
        <w:t xml:space="preserve">(a) implement and maintain reasonable technical and organisational security measures for the Platform, including tenant-scoped isolation, encryption in transit, and role-based access controls;</w:t>
      </w:r>
      <w:r>
        <w:t xml:space="preserve"> </w:t>
      </w:r>
      <w:r>
        <w:t xml:space="preserve">(b) notify Partner as soon as reasonably practicable and no later than seventy-two (72) hours after Body Recode becomes aware of any eligible data breach (as defined in the Privacy Act 1988 (Cth)) affecting Client Data on Partner’s Instance; and</w:t>
      </w:r>
      <w:r>
        <w:t xml:space="preserve"> </w:t>
      </w:r>
      <w:r>
        <w:t xml:space="preserve">(c) return or delete Client Data on termination in accordance with clause 15.</w:t>
      </w:r>
    </w:p>
    <w:p>
      <w:pPr>
        <w:pStyle w:val="BodyText"/>
      </w:pPr>
      <w:r>
        <w:t xml:space="preserve">9.4 Body Recode may use aggregated, de-identified operational data from Partner’s Instance for product improvement, Doctrine tuning, and Founding Ten roadmap analysis, provided no individual Partner Client can be identified.</w:t>
      </w:r>
    </w:p>
    <w:p>
      <w:pPr>
        <w:pStyle w:val="BodyText"/>
      </w:pPr>
      <w:r>
        <w:t xml:space="preserve">9.5 Body Recode may use aggregated, de-identified operational data from Partner’s Instance for product improvement, Doctrine tuning, and Founding Ten roadmap analysis, provided no individual Partner Client can be identified. Body Recode will not use identifiable Client Data for its own marketing, sales, or coaching services to any other party.</w:t>
      </w:r>
    </w:p>
    <w:bookmarkEnd w:id="19"/>
    <w:bookmarkStart w:id="20" w:name="intellectual-property"/>
    <w:p>
      <w:pPr>
        <w:pStyle w:val="Heading2"/>
      </w:pPr>
      <w:r>
        <w:t xml:space="preserve">10. INTELLECTUAL PROPERTY</w:t>
      </w:r>
    </w:p>
    <w:p>
      <w:pPr>
        <w:pStyle w:val="FirstParagraph"/>
      </w:pPr>
      <w:r>
        <w:t xml:space="preserve">10.1 Intellectual property rights are governed by the Licence Deed.</w:t>
      </w:r>
    </w:p>
    <w:p>
      <w:pPr>
        <w:pStyle w:val="BodyText"/>
      </w:pPr>
      <w:r>
        <w:t xml:space="preserve">10.2 In summary, and without limiting the Licence Deed:</w:t>
      </w:r>
      <w:r>
        <w:t xml:space="preserve"> </w:t>
      </w:r>
      <w:r>
        <w:t xml:space="preserve">(a) Body Recode owns all Layer 1 IP and all Layer 2 IP, including the Platform, the Engine, the Doctrine, and all improvements to any of them;</w:t>
      </w:r>
      <w:r>
        <w:t xml:space="preserve"> </w:t>
      </w:r>
      <w:r>
        <w:t xml:space="preserve">(b) Partner owns Partner’s own brand, marks, marketing materials, coaching content authored by Partner, and Partner Client Data;</w:t>
      </w:r>
      <w:r>
        <w:t xml:space="preserve"> </w:t>
      </w:r>
      <w:r>
        <w:t xml:space="preserve">(c) Partner is granted a limited licence to use Layer 2 IP as necessary to run its Instance during the Term; and</w:t>
      </w:r>
      <w:r>
        <w:t xml:space="preserve"> </w:t>
      </w:r>
      <w:r>
        <w:t xml:space="preserve">(d) Partner is granted a limited API access licence to the Engine as necessary to receive interpretations for Partner Clients during the Term.</w:t>
      </w:r>
    </w:p>
    <w:bookmarkEnd w:id="20"/>
    <w:bookmarkStart w:id="21" w:name="confidentiality"/>
    <w:p>
      <w:pPr>
        <w:pStyle w:val="Heading2"/>
      </w:pPr>
      <w:r>
        <w:t xml:space="preserve">11. CONFIDENTIALITY</w:t>
      </w:r>
    </w:p>
    <w:p>
      <w:pPr>
        <w:pStyle w:val="FirstParagraph"/>
      </w:pPr>
      <w:r>
        <w:t xml:space="preserve">11.1 Each Party will keep confidential all Confidential Information of the other Party disclosed under or in connection with this Agreement, and will use it only for the purposes contemplated by this Agreement.</w:t>
      </w:r>
    </w:p>
    <w:p>
      <w:pPr>
        <w:pStyle w:val="BodyText"/>
      </w:pPr>
      <w:r>
        <w:t xml:space="preserve">11.2</w:t>
      </w:r>
      <w:r>
        <w:t xml:space="preserve"> </w:t>
      </w:r>
      <w:r>
        <w:rPr>
          <w:b/>
          <w:bCs/>
        </w:rPr>
        <w:t xml:space="preserve">Confidential Information</w:t>
      </w:r>
      <w:r>
        <w:t xml:space="preserve"> </w:t>
      </w:r>
      <w:r>
        <w:t xml:space="preserve">includes but is not limited to: Body Recode’s Doctrine, Engine algorithms, prompt libraries, technical architecture, pricing, roadmap; Partner’s Client Data, coaching methodology, pricing, client lists; and the terms of this Agreement.</w:t>
      </w:r>
    </w:p>
    <w:p>
      <w:pPr>
        <w:pStyle w:val="BodyText"/>
      </w:pPr>
      <w:r>
        <w:t xml:space="preserve">11.3 Confidential Information does not include information that: (a) is or becomes public through no breach; (b) was rightfully known to the receiving Party before disclosure; (c) is rightfully received from a third party without confidentiality restriction; or (d) is independently developed without use of the disclosing Party’s Confidential Information.</w:t>
      </w:r>
    </w:p>
    <w:p>
      <w:pPr>
        <w:pStyle w:val="BodyText"/>
      </w:pPr>
      <w:r>
        <w:t xml:space="preserve">11.4 The obligations in this clause survive termination for a period of five (5) years, except that trade secrets remain confidential in perpetuity.</w:t>
      </w:r>
    </w:p>
    <w:bookmarkEnd w:id="21"/>
    <w:bookmarkStart w:id="22" w:name="warranties"/>
    <w:p>
      <w:pPr>
        <w:pStyle w:val="Heading2"/>
      </w:pPr>
      <w:r>
        <w:t xml:space="preserve">12. WARRANTIES</w:t>
      </w:r>
    </w:p>
    <w:p>
      <w:pPr>
        <w:pStyle w:val="FirstParagraph"/>
      </w:pPr>
      <w:r>
        <w:t xml:space="preserve">12.1 Each Party warrants that:</w:t>
      </w:r>
      <w:r>
        <w:t xml:space="preserve"> </w:t>
      </w:r>
      <w:r>
        <w:t xml:space="preserve">(a) it has the full corporate power and authority to enter into and perform this Agreement;</w:t>
      </w:r>
      <w:r>
        <w:t xml:space="preserve"> </w:t>
      </w:r>
      <w:r>
        <w:t xml:space="preserve">(b) execution and performance do not breach any other agreement, law, or duty to which the Party is subject; and</w:t>
      </w:r>
      <w:r>
        <w:t xml:space="preserve"> </w:t>
      </w:r>
      <w:r>
        <w:t xml:space="preserve">(c) all information provided to the other Party in connection with this Agreement is true, accurate, and not misleading in any material respect.</w:t>
      </w:r>
    </w:p>
    <w:p>
      <w:pPr>
        <w:pStyle w:val="BodyText"/>
      </w:pPr>
      <w:r>
        <w:t xml:space="preserve">12.2 Body Recode warrants that:</w:t>
      </w:r>
      <w:r>
        <w:t xml:space="preserve"> </w:t>
      </w:r>
      <w:r>
        <w:t xml:space="preserve">(a) Body Recode has the right to grant the Licence Deed and provide the Services under this Agreement;</w:t>
      </w:r>
      <w:r>
        <w:t xml:space="preserve"> </w:t>
      </w:r>
      <w:r>
        <w:t xml:space="preserve">(b) the Platform substantially conforms to its published documentation; and</w:t>
      </w:r>
      <w:r>
        <w:t xml:space="preserve"> </w:t>
      </w:r>
      <w:r>
        <w:t xml:space="preserve">(c) Body Recode will exercise due care, skill, and diligence in providing the Services.</w:t>
      </w:r>
    </w:p>
    <w:p>
      <w:pPr>
        <w:pStyle w:val="BodyText"/>
      </w:pPr>
      <w:r>
        <w:t xml:space="preserve">12.3 Partner warrants that:</w:t>
      </w:r>
      <w:r>
        <w:t xml:space="preserve"> </w:t>
      </w:r>
      <w:r>
        <w:t xml:space="preserve">(a) Partner holds all licences, qualifications, and registrations required by law to deliver coaching services in Partner’s Modality;</w:t>
      </w:r>
      <w:r>
        <w:t xml:space="preserve"> </w:t>
      </w:r>
      <w:r>
        <w:t xml:space="preserve">(b) Partner has a compliant privacy notice and consent regime for Partner Client interactions on the Instance; and</w:t>
      </w:r>
      <w:r>
        <w:t xml:space="preserve"> </w:t>
      </w:r>
      <w:r>
        <w:t xml:space="preserve">(c) Partner will not use the Platform or the Engine in a manner that would breach any law or infringe any third party’s rights.</w:t>
      </w:r>
    </w:p>
    <w:p>
      <w:pPr>
        <w:pStyle w:val="BodyText"/>
      </w:pPr>
      <w:r>
        <w:t xml:space="preserve">12.4 To the maximum extent permitted by law, all warranties, conditions, and terms not expressly set out in this Agreement are excluded.</w:t>
      </w:r>
    </w:p>
    <w:bookmarkEnd w:id="22"/>
    <w:bookmarkStart w:id="23" w:name="liability"/>
    <w:p>
      <w:pPr>
        <w:pStyle w:val="Heading2"/>
      </w:pPr>
      <w:r>
        <w:t xml:space="preserve">13. LIABILITY</w:t>
      </w:r>
    </w:p>
    <w:p>
      <w:pPr>
        <w:pStyle w:val="FirstParagraph"/>
      </w:pPr>
      <w:r>
        <w:t xml:space="preserve">13.1 To the maximum extent permitted by law:</w:t>
      </w:r>
      <w:r>
        <w:t xml:space="preserve"> </w:t>
      </w:r>
      <w:r>
        <w:t xml:space="preserve">(a) neither Party is liable to the other for indirect, consequential, special, or incidental loss or damage, or for loss of profits, revenue, goodwill, or business opportunity, whether in contract, tort, statute, or otherwise;</w:t>
      </w:r>
      <w:r>
        <w:t xml:space="preserve"> </w:t>
      </w:r>
      <w:r>
        <w:t xml:space="preserve">(b) each Party’s total aggregate liability under or in connection with this Agreement is capped at the total Fees paid or payable by Partner to Body Recode in the twelve (12) months immediately preceding the event giving rise to the claim; and</w:t>
      </w:r>
      <w:r>
        <w:t xml:space="preserve"> </w:t>
      </w:r>
      <w:r>
        <w:t xml:space="preserve">(c) if the event giving rise to the claim arises in the first twelve (12) months, the cap is calculated on annualised Fees.</w:t>
      </w:r>
    </w:p>
    <w:p>
      <w:pPr>
        <w:pStyle w:val="BodyText"/>
      </w:pPr>
      <w:r>
        <w:t xml:space="preserve">13.2 The caps in clause 13.1 do not apply to:</w:t>
      </w:r>
      <w:r>
        <w:t xml:space="preserve"> </w:t>
      </w:r>
      <w:r>
        <w:t xml:space="preserve">(a) breach of confidentiality;</w:t>
      </w:r>
      <w:r>
        <w:t xml:space="preserve"> </w:t>
      </w:r>
      <w:r>
        <w:t xml:space="preserve">(b) breach of intellectual property obligations;</w:t>
      </w:r>
      <w:r>
        <w:t xml:space="preserve"> </w:t>
      </w:r>
      <w:r>
        <w:t xml:space="preserve">(c) fraud or wilful misconduct;</w:t>
      </w:r>
      <w:r>
        <w:t xml:space="preserve"> </w:t>
      </w:r>
      <w:r>
        <w:t xml:space="preserve">(d) liability for personal injury or death caused by negligence; or</w:t>
      </w:r>
      <w:r>
        <w:t xml:space="preserve"> </w:t>
      </w:r>
      <w:r>
        <w:t xml:space="preserve">(e) any liability that cannot lawfully be limited.</w:t>
      </w:r>
    </w:p>
    <w:p>
      <w:pPr>
        <w:pStyle w:val="BodyText"/>
      </w:pPr>
      <w:r>
        <w:t xml:space="preserve">13.3 Each Party will use reasonable endeavours to mitigate its losses.</w:t>
      </w:r>
    </w:p>
    <w:p>
      <w:pPr>
        <w:pStyle w:val="BodyText"/>
      </w:pPr>
      <w:r>
        <w:t xml:space="preserve">13.4 Nothing in this Agreement limits, restricts, or modifies any right or remedy Partner may have under the Australian Consumer Law that cannot be lawfully excluded, restricted, or modified.</w:t>
      </w:r>
    </w:p>
    <w:bookmarkEnd w:id="23"/>
    <w:bookmarkStart w:id="24" w:name="termination"/>
    <w:p>
      <w:pPr>
        <w:pStyle w:val="Heading2"/>
      </w:pPr>
      <w:r>
        <w:t xml:space="preserve">14. TERMINATION</w:t>
      </w:r>
    </w:p>
    <w:p>
      <w:pPr>
        <w:pStyle w:val="FirstParagraph"/>
      </w:pPr>
      <w:r>
        <w:t xml:space="preserve">14.1</w:t>
      </w:r>
      <w:r>
        <w:t xml:space="preserve"> </w:t>
      </w:r>
      <w:r>
        <w:rPr>
          <w:b/>
          <w:bCs/>
        </w:rPr>
        <w:t xml:space="preserve">Termination by Body Recode for cause.</w:t>
      </w:r>
      <w:r>
        <w:t xml:space="preserve"> </w:t>
      </w:r>
      <w:r>
        <w:t xml:space="preserve">Body Recode may terminate this Agreement immediately by written notice if:</w:t>
      </w:r>
      <w:r>
        <w:t xml:space="preserve"> </w:t>
      </w:r>
      <w:r>
        <w:t xml:space="preserve">(a) Partner materially breaches this Agreement and does not remedy the breach within thirty (30) days of written notice;</w:t>
      </w:r>
      <w:r>
        <w:t xml:space="preserve"> </w:t>
      </w:r>
      <w:r>
        <w:t xml:space="preserve">(b) Partner is subject to an insolvency event, including administration, receivership, liquidation, or the Personal Insolvency Agreement equivalent;</w:t>
      </w:r>
      <w:r>
        <w:t xml:space="preserve"> </w:t>
      </w:r>
      <w:r>
        <w:t xml:space="preserve">(c) Partner uses the Instance to breach or circumvent the Hard Safety Floors, and does not immediately cease on written notice;</w:t>
      </w:r>
      <w:r>
        <w:t xml:space="preserve"> </w:t>
      </w:r>
      <w:r>
        <w:t xml:space="preserve">(d) Partner is found to have committed misconduct that materially damages Body Recode’s reputation; or</w:t>
      </w:r>
      <w:r>
        <w:t xml:space="preserve"> </w:t>
      </w:r>
      <w:r>
        <w:t xml:space="preserve">(e) Partner is subject to a suspension or cancellation of a required professional registration or qualification.</w:t>
      </w:r>
    </w:p>
    <w:p>
      <w:pPr>
        <w:pStyle w:val="BodyText"/>
      </w:pPr>
      <w:r>
        <w:t xml:space="preserve">14.2</w:t>
      </w:r>
      <w:r>
        <w:t xml:space="preserve"> </w:t>
      </w:r>
      <w:r>
        <w:rPr>
          <w:b/>
          <w:bCs/>
        </w:rPr>
        <w:t xml:space="preserve">Termination by Partner for cause.</w:t>
      </w:r>
      <w:r>
        <w:t xml:space="preserve"> </w:t>
      </w:r>
      <w:r>
        <w:t xml:space="preserve">Partner may terminate this Agreement immediately by written notice if:</w:t>
      </w:r>
      <w:r>
        <w:t xml:space="preserve"> </w:t>
      </w:r>
      <w:r>
        <w:t xml:space="preserve">(a) Body Recode materially breaches this Agreement and does not remedy the breach within thirty (30) days of written notice;</w:t>
      </w:r>
      <w:r>
        <w:t xml:space="preserve"> </w:t>
      </w:r>
      <w:r>
        <w:t xml:space="preserve">(b) Body Recode is subject to an insolvency event; or</w:t>
      </w:r>
      <w:r>
        <w:t xml:space="preserve"> </w:t>
      </w:r>
      <w:r>
        <w:t xml:space="preserve">(c) Body Recode ceases to operate the Platform.</w:t>
      </w:r>
    </w:p>
    <w:p>
      <w:pPr>
        <w:pStyle w:val="BodyText"/>
      </w:pPr>
      <w:r>
        <w:t xml:space="preserve">14.3</w:t>
      </w:r>
      <w:r>
        <w:t xml:space="preserve"> </w:t>
      </w:r>
      <w:r>
        <w:rPr>
          <w:b/>
          <w:bCs/>
        </w:rPr>
        <w:t xml:space="preserve">Termination for convenience.</w:t>
      </w:r>
      <w:r>
        <w:t xml:space="preserve"> </w:t>
      </w:r>
      <w:r>
        <w:t xml:space="preserve">After the Initial Term, either Party may terminate this Agreement for convenience on sixty (60) days’ written notice.</w:t>
      </w:r>
    </w:p>
    <w:p>
      <w:pPr>
        <w:pStyle w:val="BodyText"/>
      </w:pPr>
      <w:r>
        <w:t xml:space="preserve">14.4</w:t>
      </w:r>
      <w:r>
        <w:t xml:space="preserve"> </w:t>
      </w:r>
      <w:r>
        <w:rPr>
          <w:b/>
          <w:bCs/>
        </w:rPr>
        <w:t xml:space="preserve">Effect of termination.</w:t>
      </w:r>
      <w:r>
        <w:t xml:space="preserve"> </w:t>
      </w:r>
      <w:r>
        <w:t xml:space="preserve">On termination:</w:t>
      </w:r>
      <w:r>
        <w:t xml:space="preserve"> </w:t>
      </w:r>
      <w:r>
        <w:t xml:space="preserve">(a) Partner’s licence to use Layer 2 IP and the Engine (under the Licence Deed) ends;</w:t>
      </w:r>
      <w:r>
        <w:t xml:space="preserve"> </w:t>
      </w:r>
      <w:r>
        <w:t xml:space="preserve">(b) Partner’s access to the Instance is suspended after a wind-down period (see clause 15);</w:t>
      </w:r>
      <w:r>
        <w:t xml:space="preserve"> </w:t>
      </w:r>
      <w:r>
        <w:t xml:space="preserve">(c) Body Recode will invoice, and Partner will pay, all Fees accrued to the effective date of termination;</w:t>
      </w:r>
      <w:r>
        <w:t xml:space="preserve"> </w:t>
      </w:r>
      <w:r>
        <w:t xml:space="preserve">(d) any non-refundable amounts previously paid remain non-refundable;</w:t>
      </w:r>
      <w:r>
        <w:t xml:space="preserve"> </w:t>
      </w:r>
      <w:r>
        <w:t xml:space="preserve">(e) if Body Recode has been terminated for cause by Partner, Body Recode will refund the pro-rata unused portion of the setup fee for the balance of the Initial Term; and</w:t>
      </w:r>
      <w:r>
        <w:t xml:space="preserve"> </w:t>
      </w:r>
      <w:r>
        <w:t xml:space="preserve">(f) provisions that are expressed to survive, or that by their nature ought to survive, continue in force.</w:t>
      </w:r>
    </w:p>
    <w:bookmarkEnd w:id="24"/>
    <w:bookmarkStart w:id="25" w:name="wind-down-and-client-handover"/>
    <w:p>
      <w:pPr>
        <w:pStyle w:val="Heading2"/>
      </w:pPr>
      <w:r>
        <w:t xml:space="preserve">15. WIND-DOWN AND CLIENT HANDOVER</w:t>
      </w:r>
    </w:p>
    <w:p>
      <w:pPr>
        <w:pStyle w:val="FirstParagraph"/>
      </w:pPr>
      <w:r>
        <w:t xml:space="preserve">15.1 Body Recode will provide Partner with a wind-down period of forty-five (45) days from the effective date of termination (</w:t>
      </w:r>
      <w:r>
        <w:rPr>
          <w:b/>
          <w:bCs/>
        </w:rPr>
        <w:t xml:space="preserve">Wind-Down Period</w:t>
      </w:r>
      <w:r>
        <w:t xml:space="preserve">) during which Partner may:</w:t>
      </w:r>
      <w:r>
        <w:t xml:space="preserve"> </w:t>
      </w:r>
      <w:r>
        <w:t xml:space="preserve">(a) continue to access the Instance in a read-only mode;</w:t>
      </w:r>
      <w:r>
        <w:t xml:space="preserve"> </w:t>
      </w:r>
      <w:r>
        <w:t xml:space="preserve">(b) export Client Data in a machine-readable format (JSON, CSV);</w:t>
      </w:r>
      <w:r>
        <w:t xml:space="preserve"> </w:t>
      </w:r>
      <w:r>
        <w:t xml:space="preserve">(c) communicate the transition to Partner Clients;</w:t>
      </w:r>
      <w:r>
        <w:t xml:space="preserve"> </w:t>
      </w:r>
      <w:r>
        <w:t xml:space="preserve">(d) transition Partner Clients to another platform or continue coaching them offline; and</w:t>
      </w:r>
      <w:r>
        <w:t xml:space="preserve"> </w:t>
      </w:r>
      <w:r>
        <w:t xml:space="preserve">(e) settle any outstanding Fees.</w:t>
      </w:r>
    </w:p>
    <w:p>
      <w:pPr>
        <w:pStyle w:val="BodyText"/>
      </w:pPr>
      <w:r>
        <w:t xml:space="preserve">15.2 During the Wind-Down Period, Body Recode may charge a wind-down subscription equal to fifty percent (50%) of the previously-applicable monthly subscription fee.</w:t>
      </w:r>
    </w:p>
    <w:p>
      <w:pPr>
        <w:pStyle w:val="BodyText"/>
      </w:pPr>
      <w:r>
        <w:t xml:space="preserve">15.3 At the end of the Wind-Down Period, Body Recode will:</w:t>
      </w:r>
      <w:r>
        <w:t xml:space="preserve"> </w:t>
      </w:r>
      <w:r>
        <w:t xml:space="preserve">(a) delete or return all Client Data as directed by Partner;</w:t>
      </w:r>
      <w:r>
        <w:t xml:space="preserve"> </w:t>
      </w:r>
      <w:r>
        <w:t xml:space="preserve">(b) delete or de-provision the Instance; and</w:t>
      </w:r>
      <w:r>
        <w:t xml:space="preserve"> </w:t>
      </w:r>
      <w:r>
        <w:t xml:space="preserve">(c) revoke all Partner and Sub-User credentials.</w:t>
      </w:r>
    </w:p>
    <w:p>
      <w:pPr>
        <w:pStyle w:val="BodyText"/>
      </w:pPr>
      <w:r>
        <w:t xml:space="preserve">15.4 Body Recode will retain aggregated, de-identified operational data indefinitely for its own analytics and Doctrine tuning, consistent with clause 9.4.</w:t>
      </w:r>
    </w:p>
    <w:p>
      <w:pPr>
        <w:pStyle w:val="BodyText"/>
      </w:pPr>
      <w:r>
        <w:t xml:space="preserve">15.5 Body Recode will not, without Partner’s prior written consent, directly market Body Recode’s own coaching services to Partner Clients whose contact details Body Recode came to hold only as a result of processing Client Data. This restriction applies for twelve (12) months after termination.</w:t>
      </w:r>
    </w:p>
    <w:bookmarkEnd w:id="25"/>
    <w:bookmarkStart w:id="26" w:name="dispute-resolution"/>
    <w:p>
      <w:pPr>
        <w:pStyle w:val="Heading2"/>
      </w:pPr>
      <w:r>
        <w:t xml:space="preserve">16. DISPUTE RESOLUTION</w:t>
      </w:r>
    </w:p>
    <w:p>
      <w:pPr>
        <w:pStyle w:val="FirstParagraph"/>
      </w:pPr>
      <w:r>
        <w:t xml:space="preserve">16.1 If a dispute arises out of or in connection with this Agreement, the Parties will first attempt to resolve it by good faith negotiation between senior representatives, for a period of at least twenty (20) Business Days from written notice of the dispute.</w:t>
      </w:r>
    </w:p>
    <w:p>
      <w:pPr>
        <w:pStyle w:val="BodyText"/>
      </w:pPr>
      <w:r>
        <w:t xml:space="preserve">16.2 If the dispute is not resolved by negotiation, the Parties will refer the dispute to mediation under the Resolution Institute Mediation Rules (or an equivalent recognised mediation body) before commencing court proceedings, except for urgent injunctive or interlocutory relief.</w:t>
      </w:r>
    </w:p>
    <w:p>
      <w:pPr>
        <w:pStyle w:val="BodyText"/>
      </w:pPr>
      <w:r>
        <w:t xml:space="preserve">16.3 The Parties will share the costs of mediation equally unless the mediator directs otherwise.</w:t>
      </w:r>
    </w:p>
    <w:bookmarkEnd w:id="26"/>
    <w:bookmarkStart w:id="27" w:name="general"/>
    <w:p>
      <w:pPr>
        <w:pStyle w:val="Heading2"/>
      </w:pPr>
      <w:r>
        <w:t xml:space="preserve">17. GENERAL</w:t>
      </w:r>
    </w:p>
    <w:p>
      <w:pPr>
        <w:pStyle w:val="FirstParagraph"/>
      </w:pPr>
      <w:r>
        <w:t xml:space="preserve">17.1</w:t>
      </w:r>
      <w:r>
        <w:t xml:space="preserve"> </w:t>
      </w:r>
      <w:r>
        <w:rPr>
          <w:b/>
          <w:bCs/>
        </w:rPr>
        <w:t xml:space="preserve">Governing law.</w:t>
      </w:r>
      <w:r>
        <w:t xml:space="preserve"> </w:t>
      </w:r>
      <w:r>
        <w:t xml:space="preserve">This Agreement is governed by the laws of Queensland, Australia. Each Party submits to the exclusive jurisdiction of the Courts of Queensland.</w:t>
      </w:r>
    </w:p>
    <w:p>
      <w:pPr>
        <w:pStyle w:val="BodyText"/>
      </w:pPr>
      <w:r>
        <w:t xml:space="preserve">17.2</w:t>
      </w:r>
      <w:r>
        <w:t xml:space="preserve"> </w:t>
      </w:r>
      <w:r>
        <w:rPr>
          <w:b/>
          <w:bCs/>
        </w:rPr>
        <w:t xml:space="preserve">Entire agreement.</w:t>
      </w:r>
      <w:r>
        <w:t xml:space="preserve"> </w:t>
      </w:r>
      <w:r>
        <w:t xml:space="preserve">This Agreement, together with the Licence Deed and any Schedule, constitutes the entire agreement between the Parties and supersedes all prior representations, proposals, and understandings.</w:t>
      </w:r>
    </w:p>
    <w:p>
      <w:pPr>
        <w:pStyle w:val="BodyText"/>
      </w:pPr>
      <w:r>
        <w:t xml:space="preserve">17.3</w:t>
      </w:r>
      <w:r>
        <w:t xml:space="preserve"> </w:t>
      </w:r>
      <w:r>
        <w:rPr>
          <w:b/>
          <w:bCs/>
        </w:rPr>
        <w:t xml:space="preserve">Amendment.</w:t>
      </w:r>
      <w:r>
        <w:t xml:space="preserve"> </w:t>
      </w:r>
      <w:r>
        <w:t xml:space="preserve">No amendment is effective unless made in writing and signed by both Parties.</w:t>
      </w:r>
    </w:p>
    <w:p>
      <w:pPr>
        <w:pStyle w:val="BodyText"/>
      </w:pPr>
      <w:r>
        <w:t xml:space="preserve">17.4</w:t>
      </w:r>
      <w:r>
        <w:t xml:space="preserve"> </w:t>
      </w:r>
      <w:r>
        <w:rPr>
          <w:b/>
          <w:bCs/>
        </w:rPr>
        <w:t xml:space="preserve">Assignment.</w:t>
      </w:r>
      <w:r>
        <w:t xml:space="preserve"> </w:t>
      </w:r>
      <w:r>
        <w:t xml:space="preserve">Neither Party may assign this Agreement without the other’s prior written consent (which must not be unreasonably withheld). Body Recode may assign or novate this Agreement to a successor entity acquiring Body Recode’s business or to an affiliate, on written notice to Partner, provided the assignee agrees in writing to be bound by the same terms. The Founding Ten Discount and locked subscription rate under clause 3.2 survive any such assignment or novation.</w:t>
      </w:r>
    </w:p>
    <w:p>
      <w:pPr>
        <w:pStyle w:val="BodyText"/>
      </w:pPr>
      <w:r>
        <w:t xml:space="preserve">17.5</w:t>
      </w:r>
      <w:r>
        <w:t xml:space="preserve"> </w:t>
      </w:r>
      <w:r>
        <w:rPr>
          <w:b/>
          <w:bCs/>
        </w:rPr>
        <w:t xml:space="preserve">Notices.</w:t>
      </w:r>
      <w:r>
        <w:t xml:space="preserve"> </w:t>
      </w:r>
      <w:r>
        <w:t xml:space="preserve">Notices must be in writing and served on a Party at the address (postal or email) set out at the head of this Agreement, or another address notified in writing. A notice by email is taken to be received when the sender’s system reports successful delivery to the recipient’s system.</w:t>
      </w:r>
    </w:p>
    <w:p>
      <w:pPr>
        <w:pStyle w:val="BodyText"/>
      </w:pPr>
      <w:r>
        <w:t xml:space="preserve">17.6</w:t>
      </w:r>
      <w:r>
        <w:t xml:space="preserve"> </w:t>
      </w:r>
      <w:r>
        <w:rPr>
          <w:b/>
          <w:bCs/>
        </w:rPr>
        <w:t xml:space="preserve">Force majeure.</w:t>
      </w:r>
      <w:r>
        <w:t xml:space="preserve"> </w:t>
      </w:r>
      <w:r>
        <w:t xml:space="preserve">Neither Party is liable for delay or failure to perform (other than payment obligations) caused by an event beyond that Party’s reasonable control, provided the affected Party promptly notifies the other and uses reasonable endeavours to mitigate.</w:t>
      </w:r>
    </w:p>
    <w:p>
      <w:pPr>
        <w:pStyle w:val="BodyText"/>
      </w:pPr>
      <w:r>
        <w:t xml:space="preserve">17.7</w:t>
      </w:r>
      <w:r>
        <w:t xml:space="preserve"> </w:t>
      </w:r>
      <w:r>
        <w:rPr>
          <w:b/>
          <w:bCs/>
        </w:rPr>
        <w:t xml:space="preserve">Independent contractor.</w:t>
      </w:r>
      <w:r>
        <w:t xml:space="preserve"> </w:t>
      </w:r>
      <w:r>
        <w:t xml:space="preserve">The Parties are independent contractors. Nothing in this Agreement creates a partnership, joint venture, agency, employment, or fiduciary relationship.</w:t>
      </w:r>
    </w:p>
    <w:p>
      <w:pPr>
        <w:pStyle w:val="BodyText"/>
      </w:pPr>
      <w:r>
        <w:t xml:space="preserve">17.8</w:t>
      </w:r>
      <w:r>
        <w:t xml:space="preserve"> </w:t>
      </w:r>
      <w:r>
        <w:rPr>
          <w:b/>
          <w:bCs/>
        </w:rPr>
        <w:t xml:space="preserve">Severability.</w:t>
      </w:r>
      <w:r>
        <w:t xml:space="preserve"> </w:t>
      </w:r>
      <w:r>
        <w:t xml:space="preserve">If any provision is unenforceable, it is severed to the extent necessary without affecting the enforceability of the remainder.</w:t>
      </w:r>
    </w:p>
    <w:p>
      <w:pPr>
        <w:pStyle w:val="BodyText"/>
      </w:pPr>
      <w:r>
        <w:t xml:space="preserve">17.9</w:t>
      </w:r>
      <w:r>
        <w:t xml:space="preserve"> </w:t>
      </w:r>
      <w:r>
        <w:rPr>
          <w:b/>
          <w:bCs/>
        </w:rPr>
        <w:t xml:space="preserve">Waiver.</w:t>
      </w:r>
      <w:r>
        <w:t xml:space="preserve"> </w:t>
      </w:r>
      <w:r>
        <w:t xml:space="preserve">No waiver is effective unless in writing. A waiver on one occasion is not a waiver on any other occasion.</w:t>
      </w:r>
    </w:p>
    <w:p>
      <w:pPr>
        <w:pStyle w:val="BodyText"/>
      </w:pPr>
      <w:r>
        <w:t xml:space="preserve">17.10</w:t>
      </w:r>
      <w:r>
        <w:t xml:space="preserve"> </w:t>
      </w:r>
      <w:r>
        <w:rPr>
          <w:b/>
          <w:bCs/>
        </w:rPr>
        <w:t xml:space="preserve">Counterparts.</w:t>
      </w:r>
      <w:r>
        <w:t xml:space="preserve"> </w:t>
      </w:r>
      <w:r>
        <w:t xml:space="preserve">This Agreement may be signed in counterparts and by electronic signature.</w:t>
      </w:r>
    </w:p>
    <w:p>
      <w:r>
        <w:pict>
          <v:rect style="width:0;height:1.5pt" o:hralign="center" o:hrstd="t" o:hr="t"/>
        </w:pict>
      </w:r>
    </w:p>
    <w:bookmarkEnd w:id="27"/>
    <w:bookmarkStart w:id="28" w:name="execution"/>
    <w:p>
      <w:pPr>
        <w:pStyle w:val="Heading2"/>
      </w:pPr>
      <w:r>
        <w:t xml:space="preserve">EXECUTION</w:t>
      </w:r>
    </w:p>
    <w:p>
      <w:pPr>
        <w:pStyle w:val="FirstParagraph"/>
      </w:pPr>
      <w:r>
        <w:rPr>
          <w:b/>
          <w:bCs/>
        </w:rPr>
        <w:t xml:space="preserve">Body Recode Pty Ltd</w:t>
      </w:r>
      <w:r>
        <w:t xml:space="preserve"> </w:t>
      </w:r>
      <w:r>
        <w:t xml:space="preserve">ACN [__]</w:t>
      </w:r>
    </w:p>
    <w:p>
      <w:pPr>
        <w:pStyle w:val="BodyText"/>
      </w:pPr>
      <w:r>
        <w:t xml:space="preserve">Signed by an authorised officer:</w:t>
      </w:r>
    </w:p>
    <w:p>
      <w:pPr>
        <w:pStyle w:val="BodyText"/>
      </w:pPr>
      <w:r>
        <w:t xml:space="preserve">Name: Kade Dunstone</w:t>
      </w:r>
      <w:r>
        <w:t xml:space="preserve"> </w:t>
      </w:r>
      <w:r>
        <w:t xml:space="preserve">Title: Director</w:t>
      </w:r>
      <w:r>
        <w:t xml:space="preserve"> </w:t>
      </w:r>
      <w:r>
        <w:t xml:space="preserve">Signature: __________________________</w:t>
      </w:r>
      <w:r>
        <w:t xml:space="preserve"> </w:t>
      </w:r>
      <w:r>
        <w:t xml:space="preserve">Date: __________________________</w:t>
      </w:r>
    </w:p>
    <w:p>
      <w:pPr>
        <w:pStyle w:val="BodyText"/>
      </w:pPr>
      <w:r>
        <w:t xml:space="preserve">Witness:</w:t>
      </w:r>
      <w:r>
        <w:t xml:space="preserve"> </w:t>
      </w:r>
      <w:r>
        <w:t xml:space="preserve">Name: __________________________</w:t>
      </w:r>
      <w:r>
        <w:t xml:space="preserve"> </w:t>
      </w:r>
      <w:r>
        <w:t xml:space="preserve">Signature: __________________________</w:t>
      </w:r>
      <w:r>
        <w:t xml:space="preserve"> </w:t>
      </w:r>
      <w:r>
        <w:t xml:space="preserve">Date: __________________________</w:t>
      </w:r>
    </w:p>
    <w:p>
      <w:r>
        <w:pict>
          <v:rect style="width:0;height:1.5pt" o:hralign="center" o:hrstd="t" o:hr="t"/>
        </w:pict>
      </w:r>
    </w:p>
    <w:p>
      <w:pPr>
        <w:pStyle w:val="FirstParagraph"/>
      </w:pPr>
      <w:r>
        <w:rPr>
          <w:b/>
          <w:bCs/>
        </w:rPr>
        <w:t xml:space="preserve">[Partner legal entity name]</w:t>
      </w:r>
      <w:r>
        <w:t xml:space="preserve"> </w:t>
      </w:r>
      <w:r>
        <w:t xml:space="preserve">ACN [__]</w:t>
      </w:r>
    </w:p>
    <w:p>
      <w:pPr>
        <w:pStyle w:val="BodyText"/>
      </w:pPr>
      <w:r>
        <w:t xml:space="preserve">Signed by an authorised officer:</w:t>
      </w:r>
    </w:p>
    <w:p>
      <w:pPr>
        <w:pStyle w:val="BodyText"/>
      </w:pPr>
      <w:r>
        <w:t xml:space="preserve">Name: __________________________</w:t>
      </w:r>
      <w:r>
        <w:t xml:space="preserve"> </w:t>
      </w:r>
      <w:r>
        <w:t xml:space="preserve">Title: __________________________</w:t>
      </w:r>
      <w:r>
        <w:t xml:space="preserve"> </w:t>
      </w:r>
      <w:r>
        <w:t xml:space="preserve">Signature: __________________________</w:t>
      </w:r>
      <w:r>
        <w:t xml:space="preserve"> </w:t>
      </w:r>
      <w:r>
        <w:t xml:space="preserve">Date: __________________________</w:t>
      </w:r>
    </w:p>
    <w:p>
      <w:pPr>
        <w:pStyle w:val="BodyText"/>
      </w:pPr>
      <w:r>
        <w:t xml:space="preserve">Witness:</w:t>
      </w:r>
      <w:r>
        <w:t xml:space="preserve"> </w:t>
      </w:r>
      <w:r>
        <w:t xml:space="preserve">Name: __________________________</w:t>
      </w:r>
      <w:r>
        <w:t xml:space="preserve"> </w:t>
      </w:r>
      <w:r>
        <w:t xml:space="preserve">Signature: __________________________</w:t>
      </w:r>
      <w:r>
        <w:t xml:space="preserve"> </w:t>
      </w:r>
      <w:r>
        <w:t xml:space="preserve">Date: __________________________</w:t>
      </w:r>
    </w:p>
    <w:p>
      <w:r>
        <w:pict>
          <v:rect style="width:0;height:1.5pt" o:hralign="center" o:hrstd="t" o:hr="t"/>
        </w:pict>
      </w:r>
    </w:p>
    <w:bookmarkEnd w:id="28"/>
    <w:bookmarkStart w:id="29" w:name="Xdd6822597620caad8166cb339a4aa134c1b700c"/>
    <w:p>
      <w:pPr>
        <w:pStyle w:val="Heading2"/>
      </w:pPr>
      <w:r>
        <w:t xml:space="preserve">SCHEDULE 1 — FEES AND FOUNDING TEN DISCOUNT</w:t>
      </w:r>
    </w:p>
    <w:p>
      <w:pPr>
        <w:pStyle w:val="FirstParagraph"/>
      </w:pPr>
      <w:r>
        <w:rPr>
          <w:b/>
          <w:bCs/>
        </w:rPr>
        <w:t xml:space="preserve">Item 1: Commencement Date</w:t>
      </w:r>
      <w:r>
        <w:t xml:space="preserve"> </w:t>
      </w:r>
      <w:r>
        <w:t xml:space="preserve">[insert date]</w:t>
      </w:r>
    </w:p>
    <w:p>
      <w:pPr>
        <w:pStyle w:val="BodyText"/>
      </w:pPr>
      <w:r>
        <w:rPr>
          <w:b/>
          <w:bCs/>
        </w:rPr>
        <w:t xml:space="preserve">Item 2: Tier</w:t>
      </w:r>
      <w:r>
        <w:t xml:space="preserve"> </w:t>
      </w:r>
      <w:r>
        <w:t xml:space="preserve">[__] Launch tier</w:t>
      </w:r>
      <w:r>
        <w:t xml:space="preserve"> </w:t>
      </w:r>
      <w:r>
        <w:t xml:space="preserve">[__] Studio tier</w:t>
      </w:r>
    </w:p>
    <w:p>
      <w:pPr>
        <w:pStyle w:val="BodyText"/>
      </w:pPr>
      <w:r>
        <w:rPr>
          <w:b/>
          <w:bCs/>
        </w:rPr>
        <w:t xml:space="preserve">Item 3: Founding Ten Discount</w:t>
      </w:r>
    </w:p>
    <w:tbl>
      <w:tblPr>
        <w:tblStyle w:val="Table"/>
        <w:tblW w:type="pct" w:w="5000"/>
        <w:tblLayout w:type="fixed"/>
        <w:tblLook w:firstRow="1" w:lastRow="0" w:firstColumn="0" w:lastColumn="0" w:noHBand="0" w:noVBand="0" w:val="0020"/>
      </w:tblPr>
      <w:tblGrid>
        <w:gridCol w:w="819"/>
        <w:gridCol w:w="2048"/>
        <w:gridCol w:w="5052"/>
      </w:tblGrid>
      <w:tr>
        <w:trPr>
          <w:tblHeader w:val="on"/>
        </w:trPr>
        <w:tc>
          <w:tcPr/>
          <w:p>
            <w:pPr>
              <w:pStyle w:val="Compact"/>
            </w:pPr>
            <w:r>
              <w:t xml:space="preserve">Line</w:t>
            </w:r>
          </w:p>
        </w:tc>
        <w:tc>
          <w:tcPr/>
          <w:p>
            <w:pPr>
              <w:pStyle w:val="Compact"/>
            </w:pPr>
            <w:r>
              <w:t xml:space="preserve">Standard rate</w:t>
            </w:r>
          </w:p>
        </w:tc>
        <w:tc>
          <w:tcPr/>
          <w:p>
            <w:pPr>
              <w:pStyle w:val="Compact"/>
            </w:pPr>
            <w:r>
              <w:t xml:space="preserve">Founding Ten rate (locked for life)</w:t>
            </w:r>
          </w:p>
        </w:tc>
      </w:tr>
      <w:tr>
        <w:tc>
          <w:tcPr/>
          <w:p>
            <w:pPr>
              <w:pStyle w:val="Compact"/>
            </w:pPr>
            <w:r>
              <w:t xml:space="preserve">Setup fee (Launch tier, one-time)</w:t>
            </w:r>
          </w:p>
        </w:tc>
        <w:tc>
          <w:tcPr/>
          <w:p>
            <w:pPr>
              <w:pStyle w:val="Compact"/>
            </w:pPr>
            <w:r>
              <w:t xml:space="preserve">AUD $5,000</w:t>
            </w:r>
          </w:p>
        </w:tc>
        <w:tc>
          <w:tcPr/>
          <w:p>
            <w:pPr>
              <w:pStyle w:val="Compact"/>
            </w:pPr>
            <w:r>
              <w:t xml:space="preserve">AUD $2,500</w:t>
            </w:r>
          </w:p>
        </w:tc>
      </w:tr>
      <w:tr>
        <w:tc>
          <w:tcPr/>
          <w:p>
            <w:pPr>
              <w:pStyle w:val="Compact"/>
            </w:pPr>
            <w:r>
              <w:t xml:space="preserve">Setup fee (Studio tier, one-time)</w:t>
            </w:r>
          </w:p>
        </w:tc>
        <w:tc>
          <w:tcPr/>
          <w:p>
            <w:pPr>
              <w:pStyle w:val="Compact"/>
            </w:pPr>
            <w:r>
              <w:t xml:space="preserve">AUD $12,000</w:t>
            </w:r>
          </w:p>
        </w:tc>
        <w:tc>
          <w:tcPr/>
          <w:p>
            <w:pPr>
              <w:pStyle w:val="Compact"/>
            </w:pPr>
            <w:r>
              <w:t xml:space="preserve">AUD $6,000</w:t>
            </w:r>
          </w:p>
        </w:tc>
      </w:tr>
      <w:tr>
        <w:tc>
          <w:tcPr/>
          <w:p>
            <w:pPr>
              <w:pStyle w:val="Compact"/>
            </w:pPr>
            <w:r>
              <w:t xml:space="preserve">Platform subscription (per month)</w:t>
            </w:r>
          </w:p>
        </w:tc>
        <w:tc>
          <w:tcPr/>
          <w:p>
            <w:pPr>
              <w:pStyle w:val="Compact"/>
            </w:pPr>
            <w:r>
              <w:t xml:space="preserve">Launch $400 / Studio $600</w:t>
            </w:r>
          </w:p>
        </w:tc>
        <w:tc>
          <w:tcPr/>
          <w:p>
            <w:pPr>
              <w:pStyle w:val="Compact"/>
            </w:pPr>
            <w:r>
              <w:t xml:space="preserve">Locked at signed rate</w:t>
            </w:r>
          </w:p>
        </w:tc>
      </w:tr>
      <w:tr>
        <w:tc>
          <w:tcPr/>
          <w:p>
            <w:pPr>
              <w:pStyle w:val="Compact"/>
            </w:pPr>
            <w:r>
              <w:t xml:space="preserve">Per Active Client (per month)</w:t>
            </w:r>
          </w:p>
        </w:tc>
        <w:tc>
          <w:tcPr/>
          <w:p>
            <w:pPr>
              <w:pStyle w:val="Compact"/>
            </w:pPr>
            <w:r>
              <w:t xml:space="preserve">AUD $20</w:t>
            </w:r>
          </w:p>
        </w:tc>
        <w:tc>
          <w:tcPr/>
          <w:p>
            <w:pPr>
              <w:pStyle w:val="Compact"/>
            </w:pPr>
            <w:r>
              <w:t xml:space="preserve">AUD $20</w:t>
            </w:r>
          </w:p>
        </w:tc>
      </w:tr>
    </w:tbl>
    <w:p>
      <w:pPr>
        <w:pStyle w:val="BodyText"/>
      </w:pPr>
      <w:r>
        <w:t xml:space="preserve">All amounts exclusive of GST. GST added at prevailing rate.</w:t>
      </w:r>
    </w:p>
    <w:p>
      <w:pPr>
        <w:pStyle w:val="BodyText"/>
      </w:pPr>
      <w:r>
        <w:rPr>
          <w:b/>
          <w:bCs/>
        </w:rPr>
        <w:t xml:space="preserve">Item 4: Payment method</w:t>
      </w:r>
      <w:r>
        <w:t xml:space="preserve"> </w:t>
      </w:r>
      <w:r>
        <w:t xml:space="preserve">Direct debit (BPAY, EFT) or automatic card payment. Details provided by Body Recode on Commencement Date.</w:t>
      </w:r>
    </w:p>
    <w:p>
      <w:pPr>
        <w:pStyle w:val="BodyText"/>
      </w:pPr>
      <w:r>
        <w:rPr>
          <w:b/>
          <w:bCs/>
        </w:rPr>
        <w:t xml:space="preserve">Item 5: Modality of Instance</w:t>
      </w:r>
      <w:r>
        <w:t xml:space="preserve"> </w:t>
      </w:r>
      <w:r>
        <w:t xml:space="preserve">[__] Strength / performance coaching</w:t>
      </w:r>
      <w:r>
        <w:t xml:space="preserve"> </w:t>
      </w:r>
      <w:r>
        <w:t xml:space="preserve">[__] Yoga / movement</w:t>
      </w:r>
      <w:r>
        <w:t xml:space="preserve"> </w:t>
      </w:r>
      <w:r>
        <w:t xml:space="preserve">[__] Other: [__]</w:t>
      </w:r>
    </w:p>
    <w:bookmarkEnd w:id="29"/>
    <w:bookmarkStart w:id="33" w:name="schedule-2-services"/>
    <w:p>
      <w:pPr>
        <w:pStyle w:val="Heading2"/>
      </w:pPr>
      <w:r>
        <w:t xml:space="preserve">SCHEDULE 2 — SERVICES</w:t>
      </w:r>
    </w:p>
    <w:bookmarkStart w:id="30" w:name="included-in-setup-fee-one-time"/>
    <w:p>
      <w:pPr>
        <w:pStyle w:val="Heading3"/>
      </w:pPr>
      <w:r>
        <w:t xml:space="preserve">Included in setup fee (one-time)</w:t>
      </w:r>
    </w:p>
    <w:p>
      <w:pPr>
        <w:pStyle w:val="Compact"/>
        <w:numPr>
          <w:ilvl w:val="0"/>
          <w:numId w:val="1003"/>
        </w:numPr>
      </w:pPr>
      <w:r>
        <w:t xml:space="preserve">Instance provisioning under Partner’s chosen subdomain or custom domain</w:t>
      </w:r>
    </w:p>
    <w:p>
      <w:pPr>
        <w:pStyle w:val="Compact"/>
        <w:numPr>
          <w:ilvl w:val="0"/>
          <w:numId w:val="1003"/>
        </w:numPr>
      </w:pPr>
      <w:r>
        <w:t xml:space="preserve">Tenant configuration seed (brand shell, coach identity, product wrapping)</w:t>
      </w:r>
    </w:p>
    <w:p>
      <w:pPr>
        <w:pStyle w:val="Compact"/>
        <w:numPr>
          <w:ilvl w:val="0"/>
          <w:numId w:val="1003"/>
        </w:numPr>
      </w:pPr>
      <w:r>
        <w:t xml:space="preserve">Domain routing setup</w:t>
      </w:r>
    </w:p>
    <w:p>
      <w:pPr>
        <w:pStyle w:val="Compact"/>
        <w:numPr>
          <w:ilvl w:val="0"/>
          <w:numId w:val="1003"/>
        </w:numPr>
      </w:pPr>
      <w:r>
        <w:t xml:space="preserve">Stripe Connect onboarding assistance (Partner provides Stripe account)</w:t>
      </w:r>
    </w:p>
    <w:p>
      <w:pPr>
        <w:pStyle w:val="Compact"/>
        <w:numPr>
          <w:ilvl w:val="0"/>
          <w:numId w:val="1003"/>
        </w:numPr>
      </w:pPr>
      <w:r>
        <w:t xml:space="preserve">Resend email domain configuration</w:t>
      </w:r>
    </w:p>
    <w:p>
      <w:pPr>
        <w:pStyle w:val="Compact"/>
        <w:numPr>
          <w:ilvl w:val="0"/>
          <w:numId w:val="1003"/>
        </w:numPr>
      </w:pPr>
      <w:r>
        <w:t xml:space="preserve">Modality pack activation (strength or yoga)</w:t>
      </w:r>
    </w:p>
    <w:p>
      <w:pPr>
        <w:pStyle w:val="Compact"/>
        <w:numPr>
          <w:ilvl w:val="0"/>
          <w:numId w:val="1003"/>
        </w:numPr>
      </w:pPr>
      <w:r>
        <w:t xml:space="preserve">Up to eight (8) hours of onboarding and training with Partner’s key users</w:t>
      </w:r>
    </w:p>
    <w:p>
      <w:pPr>
        <w:pStyle w:val="Compact"/>
        <w:numPr>
          <w:ilvl w:val="0"/>
          <w:numId w:val="1003"/>
        </w:numPr>
      </w:pPr>
      <w:r>
        <w:t xml:space="preserve">Handover documentation</w:t>
      </w:r>
    </w:p>
    <w:bookmarkEnd w:id="30"/>
    <w:bookmarkStart w:id="31" w:name="included-in-monthly-subscription"/>
    <w:p>
      <w:pPr>
        <w:pStyle w:val="Heading3"/>
      </w:pPr>
      <w:r>
        <w:t xml:space="preserve">Included in monthly subscription</w:t>
      </w:r>
    </w:p>
    <w:p>
      <w:pPr>
        <w:pStyle w:val="Compact"/>
        <w:numPr>
          <w:ilvl w:val="0"/>
          <w:numId w:val="1004"/>
        </w:numPr>
      </w:pPr>
      <w:r>
        <w:t xml:space="preserve">Platform hosting on production-grade infrastructure</w:t>
      </w:r>
    </w:p>
    <w:p>
      <w:pPr>
        <w:pStyle w:val="Compact"/>
        <w:numPr>
          <w:ilvl w:val="0"/>
          <w:numId w:val="1004"/>
        </w:numPr>
      </w:pPr>
      <w:r>
        <w:t xml:space="preserve">Engine API access with usage limits per Schedule 5</w:t>
      </w:r>
    </w:p>
    <w:p>
      <w:pPr>
        <w:pStyle w:val="Compact"/>
        <w:numPr>
          <w:ilvl w:val="0"/>
          <w:numId w:val="1004"/>
        </w:numPr>
      </w:pPr>
      <w:r>
        <w:t xml:space="preserve">Feature updates and modality pack updates</w:t>
      </w:r>
    </w:p>
    <w:p>
      <w:pPr>
        <w:pStyle w:val="Compact"/>
        <w:numPr>
          <w:ilvl w:val="0"/>
          <w:numId w:val="1004"/>
        </w:numPr>
      </w:pPr>
      <w:r>
        <w:t xml:space="preserve">Standard support (email, response within 2 Business Days)</w:t>
      </w:r>
    </w:p>
    <w:p>
      <w:pPr>
        <w:pStyle w:val="Compact"/>
        <w:numPr>
          <w:ilvl w:val="0"/>
          <w:numId w:val="1004"/>
        </w:numPr>
      </w:pPr>
      <w:r>
        <w:t xml:space="preserve">Priority support for the Founding Ten (response within 1 Business Day)</w:t>
      </w:r>
    </w:p>
    <w:p>
      <w:pPr>
        <w:pStyle w:val="Compact"/>
        <w:numPr>
          <w:ilvl w:val="0"/>
          <w:numId w:val="1004"/>
        </w:numPr>
      </w:pPr>
      <w:r>
        <w:t xml:space="preserve">Monthly Active Client reporting</w:t>
      </w:r>
    </w:p>
    <w:p>
      <w:pPr>
        <w:pStyle w:val="Compact"/>
        <w:numPr>
          <w:ilvl w:val="0"/>
          <w:numId w:val="1004"/>
        </w:numPr>
      </w:pPr>
      <w:r>
        <w:t xml:space="preserve">Quarterly roadmap review participation</w:t>
      </w:r>
    </w:p>
    <w:bookmarkEnd w:id="31"/>
    <w:bookmarkStart w:id="32" w:name="X8a31fd7ac765835c672137a9e5e7da815481170"/>
    <w:p>
      <w:pPr>
        <w:pStyle w:val="Heading3"/>
      </w:pPr>
      <w:r>
        <w:t xml:space="preserve">Not included (available as optional add-ons at additional cost)</w:t>
      </w:r>
    </w:p>
    <w:p>
      <w:pPr>
        <w:pStyle w:val="Compact"/>
        <w:numPr>
          <w:ilvl w:val="0"/>
          <w:numId w:val="1005"/>
        </w:numPr>
      </w:pPr>
      <w:r>
        <w:t xml:space="preserve">Custom feature development</w:t>
      </w:r>
    </w:p>
    <w:p>
      <w:pPr>
        <w:pStyle w:val="Compact"/>
        <w:numPr>
          <w:ilvl w:val="0"/>
          <w:numId w:val="1005"/>
        </w:numPr>
      </w:pPr>
      <w:r>
        <w:t xml:space="preserve">Funnel copywriting or marketing content</w:t>
      </w:r>
    </w:p>
    <w:p>
      <w:pPr>
        <w:pStyle w:val="Compact"/>
        <w:numPr>
          <w:ilvl w:val="0"/>
          <w:numId w:val="1005"/>
        </w:numPr>
      </w:pPr>
      <w:r>
        <w:t xml:space="preserve">Client acquisition services</w:t>
      </w:r>
    </w:p>
    <w:p>
      <w:pPr>
        <w:pStyle w:val="Compact"/>
        <w:numPr>
          <w:ilvl w:val="0"/>
          <w:numId w:val="1005"/>
        </w:numPr>
      </w:pPr>
      <w:r>
        <w:t xml:space="preserve">Third-party integrations beyond the standard integration surface</w:t>
      </w:r>
    </w:p>
    <w:p>
      <w:pPr>
        <w:pStyle w:val="Compact"/>
        <w:numPr>
          <w:ilvl w:val="0"/>
          <w:numId w:val="1005"/>
        </w:numPr>
      </w:pPr>
      <w:r>
        <w:t xml:space="preserve">Additional Sub-User seats above the included limit</w:t>
      </w:r>
    </w:p>
    <w:bookmarkEnd w:id="32"/>
    <w:bookmarkEnd w:id="33"/>
    <w:bookmarkStart w:id="34" w:name="schedule-3-hard-safety-floors"/>
    <w:p>
      <w:pPr>
        <w:pStyle w:val="Heading2"/>
      </w:pPr>
      <w:r>
        <w:t xml:space="preserve">SCHEDULE 3 — HARD SAFETY FLOORS</w:t>
      </w:r>
    </w:p>
    <w:p>
      <w:pPr>
        <w:pStyle w:val="FirstParagraph"/>
      </w:pPr>
      <w:r>
        <w:t xml:space="preserve">The following limits are enforced by the Engine and cannot be overridden by Partner:</w:t>
      </w:r>
    </w:p>
    <w:p>
      <w:pPr>
        <w:numPr>
          <w:ilvl w:val="0"/>
          <w:numId w:val="1006"/>
        </w:numPr>
      </w:pPr>
      <w:r>
        <w:rPr>
          <w:b/>
          <w:bCs/>
        </w:rPr>
        <w:t xml:space="preserve">RRS (Recovery Regulation Signal) clamps</w:t>
      </w:r>
      <w:r>
        <w:t xml:space="preserve"> </w:t>
      </w:r>
      <w:r>
        <w:t xml:space="preserve">— session load and RRS scores below Engine-defined thresholds trigger mandatory deload or rest recommendations that cannot be bypassed.</w:t>
      </w:r>
    </w:p>
    <w:p>
      <w:pPr>
        <w:numPr>
          <w:ilvl w:val="0"/>
          <w:numId w:val="1006"/>
        </w:numPr>
      </w:pPr>
      <w:r>
        <w:rPr>
          <w:b/>
          <w:bCs/>
        </w:rPr>
        <w:t xml:space="preserve">Fat Map training limits</w:t>
      </w:r>
      <w:r>
        <w:t xml:space="preserve"> </w:t>
      </w:r>
      <w:r>
        <w:t xml:space="preserve">— training volume and intensity ceilings based on the client’s Fat Map zone.</w:t>
      </w:r>
    </w:p>
    <w:p>
      <w:pPr>
        <w:numPr>
          <w:ilvl w:val="0"/>
          <w:numId w:val="1006"/>
        </w:numPr>
      </w:pPr>
      <w:r>
        <w:rPr>
          <w:b/>
          <w:bCs/>
        </w:rPr>
        <w:t xml:space="preserve">Injury contraindications</w:t>
      </w:r>
      <w:r>
        <w:t xml:space="preserve"> </w:t>
      </w:r>
      <w:r>
        <w:t xml:space="preserve">— exercise substitutions and program modifications required by declared injuries, per the Injury Substitution Matrix.</w:t>
      </w:r>
    </w:p>
    <w:p>
      <w:pPr>
        <w:numPr>
          <w:ilvl w:val="0"/>
          <w:numId w:val="1006"/>
        </w:numPr>
      </w:pPr>
      <w:r>
        <w:rPr>
          <w:b/>
          <w:bCs/>
        </w:rPr>
        <w:t xml:space="preserve">Eligibility floors</w:t>
      </w:r>
      <w:r>
        <w:t xml:space="preserve"> </w:t>
      </w:r>
      <w:r>
        <w:t xml:space="preserve">— clients who fail the Lead Quality Filter or who present with disclosed contraindications (medication interactions, medical conditions) are gated from certain coaching pathways.</w:t>
      </w:r>
    </w:p>
    <w:p>
      <w:pPr>
        <w:numPr>
          <w:ilvl w:val="0"/>
          <w:numId w:val="1006"/>
        </w:numPr>
      </w:pPr>
      <w:r>
        <w:rPr>
          <w:b/>
          <w:bCs/>
        </w:rPr>
        <w:t xml:space="preserve">Nutrition safety floors</w:t>
      </w:r>
      <w:r>
        <w:t xml:space="preserve"> </w:t>
      </w:r>
      <w:r>
        <w:t xml:space="preserve">— minimum calorie floors, protein floors, and appetite-suppression rule sets that apply automatically.</w:t>
      </w:r>
    </w:p>
    <w:p>
      <w:pPr>
        <w:numPr>
          <w:ilvl w:val="0"/>
          <w:numId w:val="1006"/>
        </w:numPr>
      </w:pPr>
      <w:r>
        <w:rPr>
          <w:b/>
          <w:bCs/>
        </w:rPr>
        <w:t xml:space="preserve">Doctrine language filters</w:t>
      </w:r>
      <w:r>
        <w:t xml:space="preserve"> </w:t>
      </w:r>
      <w:r>
        <w:t xml:space="preserve">— banned client-facing terminology and doctrine version enforcement.</w:t>
      </w:r>
    </w:p>
    <w:p>
      <w:pPr>
        <w:pStyle w:val="FirstParagraph"/>
      </w:pPr>
      <w:r>
        <w:t xml:space="preserve">Body Recode reserves the right to update the Hard Safety Floors on notice to Partner. Updates that materially change Partner’s obligations require at least thirty (30) days’ notice.</w:t>
      </w:r>
    </w:p>
    <w:bookmarkEnd w:id="34"/>
    <w:bookmarkStart w:id="35" w:name="schedule-4-modality"/>
    <w:p>
      <w:pPr>
        <w:pStyle w:val="Heading2"/>
      </w:pPr>
      <w:r>
        <w:t xml:space="preserve">SCHEDULE 4 — MODALITY</w:t>
      </w:r>
    </w:p>
    <w:p>
      <w:pPr>
        <w:pStyle w:val="FirstParagraph"/>
      </w:pPr>
      <w:r>
        <w:t xml:space="preserve">Partner is licensed to run the Instance in the following Modality:</w:t>
      </w:r>
    </w:p>
    <w:tbl>
      <w:tblPr>
        <w:tblStyle w:val="Table"/>
        <w:tblW w:type="pct" w:w="5000"/>
        <w:tblLayout w:type="fixed"/>
        <w:tblLook w:firstRow="1" w:lastRow="0" w:firstColumn="0" w:lastColumn="0" w:noHBand="0" w:noVBand="0" w:val="0020"/>
      </w:tblPr>
      <w:tblGrid>
        <w:gridCol w:w="2554"/>
        <w:gridCol w:w="3321"/>
        <w:gridCol w:w="2043"/>
      </w:tblGrid>
      <w:tr>
        <w:trPr>
          <w:tblHeader w:val="on"/>
        </w:trPr>
        <w:tc>
          <w:tcPr/>
          <w:p>
            <w:pPr>
              <w:pStyle w:val="Compact"/>
            </w:pPr>
            <w:r>
              <w:t xml:space="preserve">Modality</w:t>
            </w:r>
          </w:p>
        </w:tc>
        <w:tc>
          <w:tcPr/>
          <w:p>
            <w:pPr>
              <w:pStyle w:val="Compact"/>
            </w:pPr>
            <w:r>
              <w:t xml:space="preserve">Description</w:t>
            </w:r>
          </w:p>
        </w:tc>
        <w:tc>
          <w:tcPr/>
          <w:p>
            <w:pPr>
              <w:pStyle w:val="Compact"/>
            </w:pPr>
            <w:r>
              <w:t xml:space="preserve">Status</w:t>
            </w:r>
          </w:p>
        </w:tc>
      </w:tr>
      <w:tr>
        <w:tc>
          <w:tcPr/>
          <w:p>
            <w:pPr>
              <w:pStyle w:val="Compact"/>
            </w:pPr>
            <w:r>
              <w:t xml:space="preserve">Strength / performance coaching</w:t>
            </w:r>
          </w:p>
        </w:tc>
        <w:tc>
          <w:tcPr/>
          <w:p>
            <w:pPr>
              <w:pStyle w:val="Compact"/>
            </w:pPr>
            <w:r>
              <w:t xml:space="preserve">The default modality: fat loss, strength, physique, body composition, RPE-based programming, Fat Map training</w:t>
            </w:r>
          </w:p>
        </w:tc>
        <w:tc>
          <w:tcPr/>
          <w:p>
            <w:pPr>
              <w:pStyle w:val="Compact"/>
            </w:pPr>
            <w:r>
              <w:t xml:space="preserve">Built</w:t>
            </w:r>
          </w:p>
        </w:tc>
      </w:tr>
      <w:tr>
        <w:tc>
          <w:tcPr/>
          <w:p>
            <w:pPr>
              <w:pStyle w:val="Compact"/>
            </w:pPr>
            <w:r>
              <w:t xml:space="preserve">Yoga / movement</w:t>
            </w:r>
          </w:p>
        </w:tc>
        <w:tc>
          <w:tcPr/>
          <w:p>
            <w:pPr>
              <w:pStyle w:val="Compact"/>
            </w:pPr>
            <w:r>
              <w:t xml:space="preserve">Yoga and adjacent movement disciplines: breath, poses, flows, holds, recovery/regulation-first sequencing</w:t>
            </w:r>
          </w:p>
        </w:tc>
        <w:tc>
          <w:tcPr/>
          <w:p>
            <w:pPr>
              <w:pStyle w:val="Compact"/>
            </w:pPr>
            <w:r>
              <w:t xml:space="preserve">Built (feature branch)</w:t>
            </w:r>
          </w:p>
        </w:tc>
      </w:tr>
      <w:tr>
        <w:tc>
          <w:tcPr/>
          <w:p>
            <w:pPr>
              <w:pStyle w:val="Compact"/>
            </w:pPr>
            <w:r>
              <w:t xml:space="preserve">Other</w:t>
            </w:r>
          </w:p>
        </w:tc>
        <w:tc>
          <w:tcPr/>
          <w:p>
            <w:pPr>
              <w:pStyle w:val="Compact"/>
            </w:pPr>
            <w:r>
              <w:t xml:space="preserve">Modality packs not yet built</w:t>
            </w:r>
          </w:p>
        </w:tc>
        <w:tc>
          <w:tcPr/>
          <w:p>
            <w:pPr>
              <w:pStyle w:val="Compact"/>
            </w:pPr>
            <w:r>
              <w:t xml:space="preserve">Not licensed</w:t>
            </w:r>
          </w:p>
        </w:tc>
      </w:tr>
    </w:tbl>
    <w:p>
      <w:pPr>
        <w:pStyle w:val="BodyText"/>
      </w:pPr>
      <w:r>
        <w:t xml:space="preserve">Change of Modality requires Body Recode’s prior written consent and may attract an additional setup fee.</w:t>
      </w:r>
    </w:p>
    <w:bookmarkEnd w:id="35"/>
    <w:bookmarkStart w:id="36" w:name="schedule-5-engine-api-usage-limits"/>
    <w:p>
      <w:pPr>
        <w:pStyle w:val="Heading2"/>
      </w:pPr>
      <w:r>
        <w:t xml:space="preserve">SCHEDULE 5 — ENGINE API USAGE LIMITS</w:t>
      </w:r>
    </w:p>
    <w:p>
      <w:pPr>
        <w:pStyle w:val="FirstParagraph"/>
      </w:pPr>
      <w:r>
        <w:t xml:space="preserve">Fair use limits, tuned monthly. Body Recode will notify Partner if usage patterns require escalation to a paid usage tier.</w:t>
      </w:r>
    </w:p>
    <w:tbl>
      <w:tblPr>
        <w:tblStyle w:val="Table"/>
        <w:tblW w:type="pct" w:w="5000"/>
        <w:tblLayout w:type="fixed"/>
        <w:tblLook w:firstRow="1" w:lastRow="0" w:firstColumn="0" w:lastColumn="0" w:noHBand="0" w:noVBand="0" w:val="0020"/>
      </w:tblPr>
      <w:tblGrid>
        <w:gridCol w:w="1863"/>
        <w:gridCol w:w="6056"/>
      </w:tblGrid>
      <w:tr>
        <w:trPr>
          <w:tblHeader w:val="on"/>
        </w:trPr>
        <w:tc>
          <w:tcPr/>
          <w:p>
            <w:pPr>
              <w:pStyle w:val="Compact"/>
            </w:pPr>
            <w:r>
              <w:t xml:space="preserve">Metric</w:t>
            </w:r>
          </w:p>
        </w:tc>
        <w:tc>
          <w:tcPr/>
          <w:p>
            <w:pPr>
              <w:pStyle w:val="Compact"/>
            </w:pPr>
            <w:r>
              <w:t xml:space="preserve">Included in subscription</w:t>
            </w:r>
          </w:p>
        </w:tc>
      </w:tr>
      <w:tr>
        <w:tc>
          <w:tcPr/>
          <w:p>
            <w:pPr>
              <w:pStyle w:val="Compact"/>
            </w:pPr>
            <w:r>
              <w:t xml:space="preserve">Foundational Reading generations</w:t>
            </w:r>
          </w:p>
        </w:tc>
        <w:tc>
          <w:tcPr/>
          <w:p>
            <w:pPr>
              <w:pStyle w:val="Compact"/>
            </w:pPr>
            <w:r>
              <w:t xml:space="preserve">3 per Active Client per month</w:t>
            </w:r>
          </w:p>
        </w:tc>
      </w:tr>
      <w:tr>
        <w:tc>
          <w:tcPr/>
          <w:p>
            <w:pPr>
              <w:pStyle w:val="Compact"/>
            </w:pPr>
            <w:r>
              <w:t xml:space="preserve">Program generations</w:t>
            </w:r>
          </w:p>
        </w:tc>
        <w:tc>
          <w:tcPr/>
          <w:p>
            <w:pPr>
              <w:pStyle w:val="Compact"/>
            </w:pPr>
            <w:r>
              <w:t xml:space="preserve">4 per Active Client per month</w:t>
            </w:r>
          </w:p>
        </w:tc>
      </w:tr>
      <w:tr>
        <w:tc>
          <w:tcPr/>
          <w:p>
            <w:pPr>
              <w:pStyle w:val="Compact"/>
            </w:pPr>
            <w:r>
              <w:t xml:space="preserve">Nutrition plan generations</w:t>
            </w:r>
          </w:p>
        </w:tc>
        <w:tc>
          <w:tcPr/>
          <w:p>
            <w:pPr>
              <w:pStyle w:val="Compact"/>
            </w:pPr>
            <w:r>
              <w:t xml:space="preserve">4 per Active Client per month</w:t>
            </w:r>
          </w:p>
        </w:tc>
      </w:tr>
      <w:tr>
        <w:tc>
          <w:tcPr/>
          <w:p>
            <w:pPr>
              <w:pStyle w:val="Compact"/>
            </w:pPr>
            <w:r>
              <w:t xml:space="preserve">Weekly Check-In feedback drafts</w:t>
            </w:r>
          </w:p>
        </w:tc>
        <w:tc>
          <w:tcPr/>
          <w:p>
            <w:pPr>
              <w:pStyle w:val="Compact"/>
            </w:pPr>
            <w:r>
              <w:t xml:space="preserve">Unlimited</w:t>
            </w:r>
          </w:p>
        </w:tc>
      </w:tr>
      <w:tr>
        <w:tc>
          <w:tcPr/>
          <w:p>
            <w:pPr>
              <w:pStyle w:val="Compact"/>
            </w:pPr>
            <w:r>
              <w:t xml:space="preserve">Trajectory readings</w:t>
            </w:r>
          </w:p>
        </w:tc>
        <w:tc>
          <w:tcPr/>
          <w:p>
            <w:pPr>
              <w:pStyle w:val="Compact"/>
            </w:pPr>
            <w:r>
              <w:t xml:space="preserve">1 per Active Client per block (~8 weeks)</w:t>
            </w:r>
          </w:p>
        </w:tc>
      </w:tr>
      <w:tr>
        <w:tc>
          <w:tcPr/>
          <w:p>
            <w:pPr>
              <w:pStyle w:val="Compact"/>
            </w:pPr>
            <w:r>
              <w:t xml:space="preserve">API call volume (all endpoints)</w:t>
            </w:r>
          </w:p>
        </w:tc>
        <w:tc>
          <w:tcPr/>
          <w:p>
            <w:pPr>
              <w:pStyle w:val="Compact"/>
            </w:pPr>
            <w:r>
              <w:t xml:space="preserve">10,000 calls per month per Active Client</w:t>
            </w:r>
          </w:p>
        </w:tc>
      </w:tr>
    </w:tbl>
    <w:p>
      <w:r>
        <w:pict>
          <v:rect style="width:0;height:1.5pt" o:hralign="center" o:hrstd="t" o:hr="t"/>
        </w:pict>
      </w:r>
    </w:p>
    <w:p>
      <w:pPr>
        <w:pStyle w:val="FirstParagraph"/>
      </w:pPr>
      <w:r>
        <w:rPr>
          <w:b/>
          <w:bCs/>
        </w:rPr>
        <w:t xml:space="preserve">END OF FOUNDING PARTNER AGREEMENT — v0.1 DRAFT</w:t>
      </w:r>
    </w:p>
    <w:p>
      <w:pPr>
        <w:pStyle w:val="BodyText"/>
      </w:pPr>
      <w:r>
        <w:t xml:space="preserve">Companion document:</w:t>
      </w:r>
      <w:r>
        <w:t xml:space="preserve"> </w:t>
      </w:r>
      <w:r>
        <w:rPr>
          <w:rStyle w:val="VerbatimChar"/>
        </w:rPr>
        <w:t xml:space="preserve">IP_LICENCE_DEED_v0.1.md</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2026-07-05T02:25:46Z</dcterms:created>
  <dcterms:modified xsi:type="dcterms:W3CDTF">2026-07-05T02:25:46Z</dcterms:modified>
</cp:coreProperties>
</file>

<file path=docProps/custom.xml><?xml version="1.0" encoding="utf-8"?>
<Properties xmlns="http://schemas.openxmlformats.org/officeDocument/2006/custom-properties" xmlns:vt="http://schemas.openxmlformats.org/officeDocument/2006/docPropsVTypes"/>
</file>