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2940" w:after="160"/>
        <w:rPr>
          <w:b/>
          <w:b/>
          <w:bCs/>
        </w:rPr>
      </w:pPr>
      <w:r>
        <mc:AlternateContent>
          <mc:Choice Requires="wps">
            <w:drawing>
              <wp:anchor behindDoc="0" distT="45720" distB="45720" distL="114300" distR="114300" simplePos="0" locked="0" layoutInCell="1" allowOverlap="1" relativeHeight="2" wp14:anchorId="2D902F8C">
                <wp:simplePos x="0" y="0"/>
                <wp:positionH relativeFrom="margin">
                  <wp:align>left</wp:align>
                </wp:positionH>
                <wp:positionV relativeFrom="paragraph">
                  <wp:posOffset>414655</wp:posOffset>
                </wp:positionV>
                <wp:extent cx="6096635" cy="610235"/>
                <wp:effectExtent l="0" t="0" r="19050" b="19050"/>
                <wp:wrapSquare wrapText="bothSides"/>
                <wp:docPr id="1" name="Textfeld 2"/>
                <a:graphic xmlns:a="http://schemas.openxmlformats.org/drawingml/2006/main">
                  <a:graphicData uri="http://schemas.microsoft.com/office/word/2010/wordprocessingShape">
                    <wps:wsp>
                      <wps:cNvSpPr/>
                      <wps:spPr>
                        <a:xfrm>
                          <a:off x="0" y="0"/>
                          <a:ext cx="6095880" cy="609480"/>
                        </a:xfrm>
                        <a:prstGeom prst="rect">
                          <a:avLst/>
                        </a:prstGeom>
                        <a:solidFill>
                          <a:srgbClr val="ffffff"/>
                        </a:solidFill>
                        <a:ln w="9360">
                          <a:solidFill>
                            <a:srgbClr val="000000"/>
                          </a:solidFill>
                          <a:miter/>
                        </a:ln>
                      </wps:spPr>
                      <wps:style>
                        <a:lnRef idx="0"/>
                        <a:fillRef idx="0"/>
                        <a:effectRef idx="0"/>
                        <a:fontRef idx="minor"/>
                      </wps:style>
                      <wps:txbx>
                        <w:txbxContent>
                          <w:p>
                            <w:pPr>
                              <w:pStyle w:val="NoSpacing"/>
                              <w:rPr>
                                <w:color w:val="auto"/>
                              </w:rPr>
                            </w:pPr>
                            <w:r>
                              <w:rPr>
                                <w:color w:val="auto"/>
                              </w:rPr>
                              <w:t>Die OHG ist eine Unternehmung, die von mindestens zwei Gesellschafter durch Vertrag gegründet wird.</w:t>
                            </w:r>
                          </w:p>
                          <w:p>
                            <w:pPr>
                              <w:pStyle w:val="NoSpacing"/>
                              <w:rPr>
                                <w:color w:val="auto"/>
                              </w:rPr>
                            </w:pPr>
                            <w:r>
                              <w:rPr>
                                <w:color w:val="auto"/>
                              </w:rPr>
                              <w:t>Die Gesellschaft betreibt ein Handelsgewerbe unter einer gemeinsamen Firma. Jeder von ihnen haftet für den Schaden der Gesellschaft mit seinem betrieblichen und seinem privaten Vermögen.</w:t>
                            </w:r>
                          </w:p>
                          <w:p>
                            <w:pPr>
                              <w:pStyle w:val="NoSpacing"/>
                              <w:rPr>
                                <w:color w:val="auto"/>
                              </w:rPr>
                            </w:pPr>
                            <w:r>
                              <w:rPr>
                                <w:color w:val="auto"/>
                              </w:rPr>
                            </w:r>
                          </w:p>
                          <w:p>
                            <w:pPr>
                              <w:pStyle w:val="NoSpacing"/>
                              <w:rPr>
                                <w:color w:val="auto"/>
                              </w:rPr>
                            </w:pPr>
                            <w:r>
                              <w:rPr>
                                <w:color w:val="auto"/>
                              </w:rPr>
                            </w:r>
                          </w:p>
                        </w:txbxContent>
                      </wps:txbx>
                      <wps:bodyPr>
                        <a:noAutofit/>
                      </wps:bodyPr>
                    </wps:wsp>
                  </a:graphicData>
                </a:graphic>
              </wp:anchor>
            </w:drawing>
          </mc:Choice>
          <mc:Fallback>
            <w:pict>
              <v:rect id="shape_0" ID="Textfeld 2" fillcolor="white" stroked="t" style="position:absolute;margin-left:9pt;margin-top:32.65pt;width:479.95pt;height:47.95pt;mso-position-horizontal:left;mso-position-horizontal-relative:margin" wp14:anchorId="2D902F8C">
                <w10:wrap type="square"/>
                <v:fill o:detectmouseclick="t" type="solid" color2="black"/>
                <v:stroke color="black" weight="9360" joinstyle="miter" endcap="flat"/>
                <v:textbox>
                  <w:txbxContent>
                    <w:p>
                      <w:pPr>
                        <w:pStyle w:val="NoSpacing"/>
                        <w:rPr>
                          <w:color w:val="auto"/>
                        </w:rPr>
                      </w:pPr>
                      <w:r>
                        <w:rPr>
                          <w:color w:val="auto"/>
                        </w:rPr>
                        <w:t>Die OHG ist eine Unternehmung, die von mindestens zwei Gesellschafter durch Vertrag gegründet wird.</w:t>
                      </w:r>
                    </w:p>
                    <w:p>
                      <w:pPr>
                        <w:pStyle w:val="NoSpacing"/>
                        <w:rPr>
                          <w:color w:val="auto"/>
                        </w:rPr>
                      </w:pPr>
                      <w:r>
                        <w:rPr>
                          <w:color w:val="auto"/>
                        </w:rPr>
                        <w:t>Die Gesellschaft betreibt ein Handelsgewerbe unter einer gemeinsamen Firma. Jeder von ihnen haftet für den Schaden der Gesellschaft mit seinem betrieblichen und seinem privaten Vermögen.</w:t>
                      </w:r>
                    </w:p>
                    <w:p>
                      <w:pPr>
                        <w:pStyle w:val="NoSpacing"/>
                        <w:rPr>
                          <w:color w:val="auto"/>
                        </w:rPr>
                      </w:pPr>
                      <w:r>
                        <w:rPr>
                          <w:color w:val="auto"/>
                        </w:rPr>
                      </w:r>
                    </w:p>
                    <w:p>
                      <w:pPr>
                        <w:pStyle w:val="NoSpacing"/>
                        <w:rPr>
                          <w:color w:val="auto"/>
                        </w:rPr>
                      </w:pPr>
                      <w:r>
                        <w:rPr>
                          <w:color w:val="auto"/>
                        </w:rPr>
                      </w:r>
                    </w:p>
                  </w:txbxContent>
                </v:textbox>
              </v:rect>
            </w:pict>
          </mc:Fallback>
        </mc:AlternateContent>
        <mc:AlternateContent>
          <mc:Choice Requires="wps">
            <w:drawing>
              <wp:anchor behindDoc="0" distT="0" distB="0" distL="0" distR="0" simplePos="0" locked="0" layoutInCell="1" allowOverlap="1" relativeHeight="4" wp14:anchorId="51D3066C">
                <wp:simplePos x="0" y="0"/>
                <wp:positionH relativeFrom="margin">
                  <wp:posOffset>3519805</wp:posOffset>
                </wp:positionH>
                <wp:positionV relativeFrom="paragraph">
                  <wp:posOffset>-795020</wp:posOffset>
                </wp:positionV>
                <wp:extent cx="2019935" cy="1257935"/>
                <wp:effectExtent l="1562100" t="0" r="19050" b="19050"/>
                <wp:wrapNone/>
                <wp:docPr id="3" name="Sprechblase: oval 3"/>
                <a:graphic xmlns:a="http://schemas.openxmlformats.org/drawingml/2006/main">
                  <a:graphicData uri="http://schemas.microsoft.com/office/word/2010/wordprocessingShape">
                    <wps:wsp>
                      <wps:cNvSpPr/>
                      <wps:spPr>
                        <a:xfrm>
                          <a:off x="0" y="0"/>
                          <a:ext cx="2019240" cy="1257480"/>
                        </a:xfrm>
                        <a:prstGeom prst="wedgeEllipseCallout">
                          <a:avLst>
                            <a:gd name="adj1" fmla="val -125079"/>
                            <a:gd name="adj2" fmla="val 18817"/>
                          </a:avLst>
                        </a:prstGeom>
                        <a:ln/>
                      </wps:spPr>
                      <wps:style>
                        <a:lnRef idx="2">
                          <a:schemeClr val="dk1"/>
                        </a:lnRef>
                        <a:fillRef idx="1">
                          <a:schemeClr val="lt1"/>
                        </a:fillRef>
                        <a:effectRef idx="0">
                          <a:schemeClr val="dk1"/>
                        </a:effectRef>
                        <a:fontRef idx="minor"/>
                      </wps:style>
                      <wps:txbx>
                        <w:txbxContent>
                          <w:p>
                            <w:pPr>
                              <w:pStyle w:val="Rahmeninhalt"/>
                              <w:spacing w:before="0" w:after="160"/>
                              <w:jc w:val="center"/>
                              <w:rPr>
                                <w:color w:val="000000"/>
                              </w:rPr>
                            </w:pPr>
                            <w:r>
                              <w:rPr>
                                <w:color w:val="000000"/>
                                <w:sz w:val="16"/>
                                <w:szCs w:val="16"/>
                              </w:rPr>
                              <w:t>Ist besonders geeignet für kleine und mittelständige Betriebe. Ist leicht zu gründen, da kein Mindestkapital vorgeschrieben ist!</w:t>
                            </w:r>
                          </w:p>
                        </w:txbxContent>
                      </wps:txbx>
                      <wps:bodyPr anchor="ctr">
                        <a:prstTxWarp prst="textNoShape"/>
                        <a:noAutofit/>
                      </wps:bodyPr>
                    </wps:wsp>
                  </a:graphicData>
                </a:graphic>
              </wp:anchor>
            </w:drawing>
          </mc:Choice>
          <mc:Fallback>
            <w:pict>
              <v:rect id="shape_0" ID="Sprechblase: oval 3" fillcolor="white" stroked="t" style="position:absolute;margin-left:277.15pt;margin-top:-62.6pt;width:158.95pt;height:98.95pt;mso-position-horizontal-relative:margin" wp14:anchorId="51D3066C">
                <w10:wrap type="square"/>
                <v:fill o:detectmouseclick="t" type="solid" color2="black"/>
                <v:stroke color="black" weight="12600" joinstyle="miter" endcap="flat"/>
                <v:textbox>
                  <w:txbxContent>
                    <w:p>
                      <w:pPr>
                        <w:pStyle w:val="Rahmeninhalt"/>
                        <w:spacing w:before="0" w:after="160"/>
                        <w:jc w:val="center"/>
                        <w:rPr>
                          <w:color w:val="000000"/>
                        </w:rPr>
                      </w:pPr>
                      <w:r>
                        <w:rPr>
                          <w:color w:val="000000"/>
                          <w:sz w:val="16"/>
                          <w:szCs w:val="16"/>
                        </w:rPr>
                        <w:t>Ist besonders geeignet für kleine und mittelständige Betriebe. Ist leicht zu gründen, da kein Mindestkapital vorgeschrieben ist!</w:t>
                      </w:r>
                    </w:p>
                  </w:txbxContent>
                </v:textbox>
              </v:rect>
            </w:pict>
          </mc:Fallback>
        </mc:AlternateContent>
      </w:r>
      <w:r>
        <w:rPr>
          <w:b/>
          <w:bCs/>
        </w:rPr>
        <w:t>Offene Handelsgesellschaft (OHG)</w:t>
      </w:r>
    </w:p>
    <w:p>
      <w:pPr>
        <w:pStyle w:val="Normal"/>
        <w:rPr>
          <w:b/>
          <w:b/>
          <w:bCs/>
        </w:rPr>
      </w:pPr>
      <w:r>
        <w:rPr>
          <w:b/>
          <w:bCs/>
        </w:rPr>
        <w:t>Merkmale</w:t>
      </w:r>
      <w:r>
        <w:rPr/>
        <w:t xml:space="preserve"> </w:t>
      </w:r>
      <w:r>
        <w:rPr>
          <w:b/>
          <w:bCs/>
        </w:rPr>
        <w:t>der OHG</w:t>
      </w:r>
    </w:p>
    <w:tbl>
      <w:tblPr>
        <w:tblStyle w:val="Tabellenraster"/>
        <w:tblW w:w="9062" w:type="dxa"/>
        <w:jc w:val="left"/>
        <w:tblInd w:w="0" w:type="dxa"/>
        <w:tblCellMar>
          <w:top w:w="0" w:type="dxa"/>
          <w:left w:w="108" w:type="dxa"/>
          <w:bottom w:w="0" w:type="dxa"/>
          <w:right w:w="108" w:type="dxa"/>
        </w:tblCellMar>
        <w:tblLook w:firstRow="1" w:noVBand="1" w:lastRow="0" w:firstColumn="1" w:lastColumn="0" w:noHBand="0" w:val="04a0"/>
      </w:tblPr>
      <w:tblGrid>
        <w:gridCol w:w="2262"/>
        <w:gridCol w:w="6799"/>
      </w:tblGrid>
      <w:tr>
        <w:trPr/>
        <w:tc>
          <w:tcPr>
            <w:tcW w:w="2262" w:type="dxa"/>
            <w:tcBorders/>
            <w:shd w:fill="auto" w:val="clear"/>
          </w:tcPr>
          <w:p>
            <w:pPr>
              <w:pStyle w:val="Normal"/>
              <w:spacing w:lineRule="auto" w:line="240" w:before="0" w:after="0"/>
              <w:rPr>
                <w:b/>
                <w:b/>
                <w:bCs/>
              </w:rPr>
            </w:pPr>
            <w:r>
              <w:rPr>
                <w:b/>
                <w:bCs/>
              </w:rPr>
              <w:t>Gründung:</w:t>
            </w:r>
          </w:p>
        </w:tc>
        <w:tc>
          <w:tcPr>
            <w:tcW w:w="6799" w:type="dxa"/>
            <w:tcBorders/>
            <w:shd w:fill="auto" w:val="clear"/>
          </w:tcPr>
          <w:p>
            <w:pPr>
              <w:pStyle w:val="ListParagraph"/>
              <w:numPr>
                <w:ilvl w:val="0"/>
                <w:numId w:val="1"/>
              </w:numPr>
              <w:spacing w:lineRule="auto" w:line="240" w:before="0" w:after="0"/>
              <w:ind w:left="183" w:hanging="142"/>
              <w:contextualSpacing/>
              <w:rPr/>
            </w:pPr>
            <w:r>
              <w:rPr/>
              <w:t>mindestens 2 Personen</w:t>
            </w:r>
          </w:p>
          <w:p>
            <w:pPr>
              <w:pStyle w:val="ListParagraph"/>
              <w:numPr>
                <w:ilvl w:val="0"/>
                <w:numId w:val="1"/>
              </w:numPr>
              <w:spacing w:lineRule="auto" w:line="240" w:before="0" w:after="0"/>
              <w:ind w:left="183" w:hanging="142"/>
              <w:contextualSpacing/>
              <w:rPr/>
            </w:pPr>
            <w:r>
              <w:rPr/>
              <w:t>die Gründung erfolgt durch einen Gesellschaftsvertrag, in dem die besonderen Rechte und Pflichten des einzelnen Gesellschafters festgelegt werden</w:t>
            </w:r>
          </w:p>
          <w:p>
            <w:pPr>
              <w:pStyle w:val="ListParagraph"/>
              <w:numPr>
                <w:ilvl w:val="0"/>
                <w:numId w:val="1"/>
              </w:numPr>
              <w:spacing w:lineRule="auto" w:line="240" w:before="0" w:after="0"/>
              <w:ind w:left="183" w:hanging="142"/>
              <w:contextualSpacing/>
              <w:rPr/>
            </w:pPr>
            <w:r>
              <w:rPr/>
              <w:t>der Gesellschaftsvertrag ist formlos (üblich Schriftform)</w:t>
            </w:r>
          </w:p>
          <w:p>
            <w:pPr>
              <w:pStyle w:val="ListParagraph"/>
              <w:numPr>
                <w:ilvl w:val="0"/>
                <w:numId w:val="1"/>
              </w:numPr>
              <w:spacing w:lineRule="auto" w:line="240" w:before="0" w:after="0"/>
              <w:ind w:left="183" w:hanging="142"/>
              <w:contextualSpacing/>
              <w:rPr/>
            </w:pPr>
            <w:r>
              <w:rPr/>
              <w:t>die Gesellschaft ist zur Eintragung in das Handelsregister anzumelden</w:t>
            </w:r>
          </w:p>
        </w:tc>
      </w:tr>
      <w:tr>
        <w:trPr/>
        <w:tc>
          <w:tcPr>
            <w:tcW w:w="2262" w:type="dxa"/>
            <w:tcBorders/>
            <w:shd w:fill="auto" w:val="clear"/>
          </w:tcPr>
          <w:p>
            <w:pPr>
              <w:pStyle w:val="Normal"/>
              <w:spacing w:lineRule="auto" w:line="240" w:before="0" w:after="0"/>
              <w:rPr>
                <w:b/>
                <w:b/>
                <w:bCs/>
              </w:rPr>
            </w:pPr>
            <w:r>
              <w:rPr>
                <w:b/>
                <w:bCs/>
              </w:rPr>
              <w:t>Firma:</w:t>
            </w:r>
          </w:p>
        </w:tc>
        <w:tc>
          <w:tcPr>
            <w:tcW w:w="6799" w:type="dxa"/>
            <w:tcBorders/>
            <w:shd w:fill="auto" w:val="clear"/>
          </w:tcPr>
          <w:p>
            <w:pPr>
              <w:pStyle w:val="ListParagraph"/>
              <w:numPr>
                <w:ilvl w:val="0"/>
                <w:numId w:val="2"/>
              </w:numPr>
              <w:spacing w:lineRule="auto" w:line="240" w:before="0" w:after="0"/>
              <w:ind w:left="183" w:hanging="142"/>
              <w:contextualSpacing/>
              <w:rPr/>
            </w:pPr>
            <w:r>
              <w:rPr/>
              <w:t>Personen-, Sach-, Fantasiefirma</w:t>
            </w:r>
          </w:p>
        </w:tc>
      </w:tr>
      <w:tr>
        <w:trPr/>
        <w:tc>
          <w:tcPr>
            <w:tcW w:w="2262" w:type="dxa"/>
            <w:tcBorders/>
            <w:shd w:fill="auto" w:val="clear"/>
          </w:tcPr>
          <w:p>
            <w:pPr>
              <w:pStyle w:val="Normal"/>
              <w:spacing w:lineRule="auto" w:line="240" w:before="0" w:after="0"/>
              <w:rPr>
                <w:b/>
                <w:b/>
                <w:bCs/>
              </w:rPr>
            </w:pPr>
            <w:r>
              <w:rPr>
                <w:b/>
                <w:bCs/>
              </w:rPr>
              <w:t>Geschäftsführung</w:t>
            </w:r>
          </w:p>
          <w:p>
            <w:pPr>
              <w:pStyle w:val="Normal"/>
              <w:spacing w:lineRule="auto" w:line="240" w:before="0" w:after="0"/>
              <w:rPr>
                <w:b/>
                <w:b/>
                <w:bCs/>
              </w:rPr>
            </w:pPr>
            <w:r>
              <w:rPr>
                <w:b/>
                <w:bCs/>
              </w:rPr>
              <w:t>(nach innen)</w:t>
            </w:r>
          </w:p>
        </w:tc>
        <w:tc>
          <w:tcPr>
            <w:tcW w:w="6799" w:type="dxa"/>
            <w:tcBorders/>
            <w:shd w:fill="auto" w:val="clear"/>
          </w:tcPr>
          <w:p>
            <w:pPr>
              <w:pStyle w:val="ListParagraph"/>
              <w:numPr>
                <w:ilvl w:val="0"/>
                <w:numId w:val="2"/>
              </w:numPr>
              <w:spacing w:lineRule="auto" w:line="240" w:before="0" w:after="0"/>
              <w:ind w:left="183" w:hanging="142"/>
              <w:contextualSpacing/>
              <w:rPr/>
            </w:pPr>
            <w:r>
              <w:rPr/>
              <w:t xml:space="preserve">jeder Gesellschafter ist alleine zur Geschäftsführung </w:t>
            </w:r>
            <w:r>
              <w:rPr>
                <w:b/>
                <w:bCs/>
              </w:rPr>
              <w:t>innerhalb der Gesellschaft</w:t>
            </w:r>
            <w:r>
              <w:rPr/>
              <w:t xml:space="preserve"> berechtigt </w:t>
            </w:r>
            <w:r>
              <w:rPr>
                <w:b/>
                <w:bCs/>
              </w:rPr>
              <w:t>(Einzelgeschäftsführungsbefugnis</w:t>
            </w:r>
            <w:r>
              <w:rPr/>
              <w:t xml:space="preserve">). Dies gilt allerdings nur für </w:t>
            </w:r>
            <w:r>
              <w:rPr>
                <w:b/>
                <w:bCs/>
              </w:rPr>
              <w:t>Handlungen, die der Betrieb gewöhnlich mit sich bringt (</w:t>
            </w:r>
            <w:r>
              <w:rPr/>
              <w:t xml:space="preserve">Einkauf, Verkauf, Zahlungsverkehr, Personaleinstellung und -entlassung) und </w:t>
            </w:r>
            <w:r>
              <w:rPr>
                <w:b/>
                <w:bCs/>
              </w:rPr>
              <w:t>wenn kein anderer</w:t>
            </w:r>
            <w:r>
              <w:rPr/>
              <w:t xml:space="preserve"> geschäftsführende Gesellschafter </w:t>
            </w:r>
            <w:r>
              <w:rPr>
                <w:b/>
                <w:bCs/>
              </w:rPr>
              <w:t>widerspricht</w:t>
            </w:r>
            <w:r>
              <w:rPr/>
              <w:t>.</w:t>
            </w:r>
          </w:p>
          <w:p>
            <w:pPr>
              <w:pStyle w:val="ListParagraph"/>
              <w:numPr>
                <w:ilvl w:val="0"/>
                <w:numId w:val="2"/>
              </w:numPr>
              <w:spacing w:lineRule="auto" w:line="240" w:before="0" w:after="0"/>
              <w:ind w:left="183" w:hanging="142"/>
              <w:contextualSpacing/>
              <w:rPr/>
            </w:pPr>
            <w:r>
              <w:rPr>
                <w:b/>
                <w:bCs/>
              </w:rPr>
              <w:t>Außergewöhnliche</w:t>
            </w:r>
            <w:r>
              <w:rPr/>
              <w:t xml:space="preserve"> </w:t>
            </w:r>
            <w:r>
              <w:rPr>
                <w:b/>
                <w:bCs/>
              </w:rPr>
              <w:t>Handlungen</w:t>
            </w:r>
            <w:r>
              <w:rPr/>
              <w:t xml:space="preserve"> (z.B. Grundstückskäufe, Errichtung einer Filiale, Bestellung eines Prokuristen) bedürfen der </w:t>
            </w:r>
            <w:r>
              <w:rPr>
                <w:b/>
                <w:bCs/>
              </w:rPr>
              <w:t>Zustimmung</w:t>
            </w:r>
            <w:r>
              <w:rPr/>
              <w:t xml:space="preserve"> </w:t>
            </w:r>
            <w:r>
              <w:rPr>
                <w:b/>
                <w:bCs/>
              </w:rPr>
              <w:t>aller Gesellschafter</w:t>
            </w:r>
            <w:r>
              <w:rPr/>
              <w:t>.</w:t>
            </w:r>
          </w:p>
          <w:p>
            <w:pPr>
              <w:pStyle w:val="ListParagraph"/>
              <w:numPr>
                <w:ilvl w:val="0"/>
                <w:numId w:val="2"/>
              </w:numPr>
              <w:spacing w:lineRule="auto" w:line="240" w:before="0" w:after="0"/>
              <w:ind w:left="183" w:hanging="142"/>
              <w:contextualSpacing/>
              <w:rPr/>
            </w:pPr>
            <w:r>
              <w:rPr/>
              <w:t>per Vertrag können Gesellschafter allerdings von der Geschäftsführung ausgeschlossen werden.</w:t>
            </w:r>
          </w:p>
        </w:tc>
      </w:tr>
      <w:tr>
        <w:trPr/>
        <w:tc>
          <w:tcPr>
            <w:tcW w:w="2262" w:type="dxa"/>
            <w:tcBorders/>
            <w:shd w:fill="auto" w:val="clear"/>
          </w:tcPr>
          <w:p>
            <w:pPr>
              <w:pStyle w:val="Normal"/>
              <w:spacing w:lineRule="auto" w:line="240" w:before="0" w:after="0"/>
              <w:rPr>
                <w:b/>
                <w:b/>
                <w:bCs/>
              </w:rPr>
            </w:pPr>
            <w:r>
              <w:rPr>
                <w:b/>
                <w:bCs/>
              </w:rPr>
              <w:t>Vertetung</w:t>
            </w:r>
          </w:p>
          <w:p>
            <w:pPr>
              <w:pStyle w:val="Normal"/>
              <w:spacing w:lineRule="auto" w:line="240" w:before="0" w:after="0"/>
              <w:rPr>
                <w:b/>
                <w:b/>
                <w:bCs/>
              </w:rPr>
            </w:pPr>
            <w:r>
              <w:rPr>
                <w:b/>
                <w:bCs/>
              </w:rPr>
              <w:t>(nach außen)</w:t>
            </w:r>
          </w:p>
        </w:tc>
        <w:tc>
          <w:tcPr>
            <w:tcW w:w="6799" w:type="dxa"/>
            <w:tcBorders/>
            <w:shd w:fill="auto" w:val="clear"/>
          </w:tcPr>
          <w:p>
            <w:pPr>
              <w:pStyle w:val="ListParagraph"/>
              <w:numPr>
                <w:ilvl w:val="0"/>
                <w:numId w:val="3"/>
              </w:numPr>
              <w:tabs>
                <w:tab w:val="clear" w:pos="708"/>
                <w:tab w:val="left" w:pos="211" w:leader="none"/>
              </w:tabs>
              <w:spacing w:lineRule="auto" w:line="240" w:before="0" w:after="0"/>
              <w:ind w:left="183" w:hanging="142"/>
              <w:contextualSpacing/>
              <w:rPr/>
            </w:pPr>
            <w:r>
              <w:rPr/>
              <w:t>jeder Gesellschafter ist allein zur Vertretung der OHG nach außen berechtigt (Einzelvertretungsbefugnis). Hier: keine Unterscheidung zwischen gewöhnlichen und außergewöhnlichen Geschäften</w:t>
            </w:r>
          </w:p>
          <w:p>
            <w:pPr>
              <w:pStyle w:val="ListParagraph"/>
              <w:numPr>
                <w:ilvl w:val="0"/>
                <w:numId w:val="3"/>
              </w:numPr>
              <w:tabs>
                <w:tab w:val="clear" w:pos="708"/>
                <w:tab w:val="left" w:pos="211" w:leader="none"/>
              </w:tabs>
              <w:spacing w:lineRule="auto" w:line="240" w:before="0" w:after="0"/>
              <w:ind w:left="183" w:hanging="142"/>
              <w:contextualSpacing/>
              <w:rPr/>
            </w:pPr>
            <w:r>
              <w:rPr/>
              <w:t>Verträge, die ein einzelner Gesellschafter für die OHG abschließt, sind bindend, es sei denn, im Handelsregister sind abweichende Regelungen vermerkt, z.B. Gesamtvertretungsbefugnisse</w:t>
            </w:r>
          </w:p>
        </w:tc>
      </w:tr>
      <w:tr>
        <w:trPr/>
        <w:tc>
          <w:tcPr>
            <w:tcW w:w="2262" w:type="dxa"/>
            <w:tcBorders/>
            <w:shd w:fill="auto" w:val="clear"/>
          </w:tcPr>
          <w:p>
            <w:pPr>
              <w:pStyle w:val="Normal"/>
              <w:spacing w:lineRule="auto" w:line="240" w:before="0" w:after="0"/>
              <w:rPr>
                <w:b/>
                <w:b/>
                <w:bCs/>
              </w:rPr>
            </w:pPr>
            <w:r>
              <w:rPr>
                <w:b/>
                <w:bCs/>
              </w:rPr>
              <w:t xml:space="preserve">Gewinn- und </w:t>
            </w:r>
          </w:p>
          <w:p>
            <w:pPr>
              <w:pStyle w:val="Normal"/>
              <w:spacing w:lineRule="auto" w:line="240" w:before="0" w:after="0"/>
              <w:rPr>
                <w:b/>
                <w:b/>
                <w:bCs/>
              </w:rPr>
            </w:pPr>
            <w:r>
              <w:rPr>
                <w:b/>
                <w:bCs/>
              </w:rPr>
              <w:t>Verlustverteilung</w:t>
            </w:r>
          </w:p>
        </w:tc>
        <w:tc>
          <w:tcPr>
            <w:tcW w:w="6799" w:type="dxa"/>
            <w:tcBorders/>
            <w:shd w:fill="auto" w:val="clear"/>
          </w:tcPr>
          <w:p>
            <w:pPr>
              <w:pStyle w:val="ListParagraph"/>
              <w:numPr>
                <w:ilvl w:val="0"/>
                <w:numId w:val="3"/>
              </w:numPr>
              <w:tabs>
                <w:tab w:val="clear" w:pos="708"/>
                <w:tab w:val="left" w:pos="211" w:leader="none"/>
              </w:tabs>
              <w:spacing w:lineRule="auto" w:line="240" w:before="0" w:after="0"/>
              <w:ind w:left="183" w:hanging="142"/>
              <w:contextualSpacing/>
              <w:rPr/>
            </w:pPr>
            <w:r>
              <w:rPr/>
              <w:t>Gewinn: 4% auf das eingesetzte Kapital, Rest nach Köpfen</w:t>
            </w:r>
          </w:p>
          <w:p>
            <w:pPr>
              <w:pStyle w:val="ListParagraph"/>
              <w:numPr>
                <w:ilvl w:val="0"/>
                <w:numId w:val="3"/>
              </w:numPr>
              <w:tabs>
                <w:tab w:val="clear" w:pos="708"/>
                <w:tab w:val="left" w:pos="211" w:leader="none"/>
              </w:tabs>
              <w:spacing w:lineRule="auto" w:line="240" w:before="0" w:after="0"/>
              <w:ind w:left="183" w:hanging="142"/>
              <w:contextualSpacing/>
              <w:rPr/>
            </w:pPr>
            <w:r>
              <w:rPr/>
              <w:t>Verlust: nach Köpfen</w:t>
            </w:r>
          </w:p>
        </w:tc>
      </w:tr>
      <w:tr>
        <w:trPr/>
        <w:tc>
          <w:tcPr>
            <w:tcW w:w="2262" w:type="dxa"/>
            <w:tcBorders/>
            <w:shd w:fill="auto" w:val="clear"/>
          </w:tcPr>
          <w:p>
            <w:pPr>
              <w:pStyle w:val="Normal"/>
              <w:spacing w:lineRule="auto" w:line="240" w:before="0" w:after="0"/>
              <w:rPr>
                <w:b/>
                <w:b/>
                <w:bCs/>
              </w:rPr>
            </w:pPr>
            <w:r>
              <w:rPr>
                <w:b/>
                <w:bCs/>
              </w:rPr>
              <w:t>Privatentnahmen</w:t>
            </w:r>
          </w:p>
        </w:tc>
        <w:tc>
          <w:tcPr>
            <w:tcW w:w="6799" w:type="dxa"/>
            <w:tcBorders/>
            <w:shd w:fill="auto" w:val="clear"/>
          </w:tcPr>
          <w:p>
            <w:pPr>
              <w:pStyle w:val="ListParagraph"/>
              <w:numPr>
                <w:ilvl w:val="0"/>
                <w:numId w:val="3"/>
              </w:numPr>
              <w:tabs>
                <w:tab w:val="clear" w:pos="708"/>
                <w:tab w:val="left" w:pos="211" w:leader="none"/>
              </w:tabs>
              <w:spacing w:lineRule="auto" w:line="240" w:before="0" w:after="0"/>
              <w:ind w:left="183" w:hanging="142"/>
              <w:contextualSpacing/>
              <w:rPr/>
            </w:pPr>
            <w:r>
              <w:rPr/>
              <w:t>sind jederzeit während des Geschäftsjahres bis zu 4% des Kapitalanteils möglich (dies gilt auch, wenn die OHG einen Jahresverlust gemacht hat)</w:t>
            </w:r>
          </w:p>
        </w:tc>
      </w:tr>
      <w:tr>
        <w:trPr/>
        <w:tc>
          <w:tcPr>
            <w:tcW w:w="2262" w:type="dxa"/>
            <w:tcBorders/>
            <w:shd w:fill="auto" w:val="clear"/>
          </w:tcPr>
          <w:p>
            <w:pPr>
              <w:pStyle w:val="Normal"/>
              <w:spacing w:lineRule="auto" w:line="240" w:before="0" w:after="0"/>
              <w:rPr>
                <w:b/>
                <w:b/>
                <w:bCs/>
              </w:rPr>
            </w:pPr>
            <w:r>
              <w:rPr>
                <w:b/>
                <w:bCs/>
              </w:rPr>
              <w:t>Haftung</w:t>
            </w:r>
          </w:p>
          <w:p>
            <w:pPr>
              <w:pStyle w:val="Normal"/>
              <w:spacing w:lineRule="auto" w:line="240" w:before="0" w:after="0"/>
              <w:rPr>
                <w:b/>
                <w:b/>
                <w:bCs/>
              </w:rPr>
            </w:pPr>
            <w:r>
              <w:rPr>
                <w:b/>
                <w:bCs/>
              </w:rPr>
              <mc:AlternateContent>
                <mc:Choice Requires="wps">
                  <w:drawing>
                    <wp:anchor behindDoc="0" distT="0" distB="0" distL="0" distR="0" simplePos="0" locked="0" layoutInCell="1" allowOverlap="1" relativeHeight="3" wp14:anchorId="361AF6EE">
                      <wp:simplePos x="0" y="0"/>
                      <wp:positionH relativeFrom="column">
                        <wp:posOffset>-28575</wp:posOffset>
                      </wp:positionH>
                      <wp:positionV relativeFrom="paragraph">
                        <wp:posOffset>135890</wp:posOffset>
                      </wp:positionV>
                      <wp:extent cx="1334135" cy="1629410"/>
                      <wp:effectExtent l="19050" t="152400" r="38100" b="47625"/>
                      <wp:wrapNone/>
                      <wp:docPr id="5" name="Sprechblase: oval 2"/>
                      <a:graphic xmlns:a="http://schemas.openxmlformats.org/drawingml/2006/main">
                        <a:graphicData uri="http://schemas.microsoft.com/office/word/2010/wordprocessingShape">
                          <wps:wsp>
                            <wps:cNvSpPr/>
                            <wps:spPr>
                              <a:xfrm>
                                <a:off x="0" y="0"/>
                                <a:ext cx="1333440" cy="1628640"/>
                              </a:xfrm>
                              <a:prstGeom prst="wedgeEllipseCallout">
                                <a:avLst>
                                  <a:gd name="adj1" fmla="val -32701"/>
                                  <a:gd name="adj2" fmla="val -58552"/>
                                </a:avLst>
                              </a:prstGeom>
                              <a:ln/>
                            </wps:spPr>
                            <wps:style>
                              <a:lnRef idx="2">
                                <a:schemeClr val="dk1"/>
                              </a:lnRef>
                              <a:fillRef idx="1">
                                <a:schemeClr val="lt1"/>
                              </a:fillRef>
                              <a:effectRef idx="0">
                                <a:schemeClr val="dk1"/>
                              </a:effectRef>
                              <a:fontRef idx="minor"/>
                            </wps:style>
                            <wps:txbx>
                              <w:txbxContent>
                                <w:p>
                                  <w:pPr>
                                    <w:pStyle w:val="Rahmeninhalt"/>
                                    <w:spacing w:before="0" w:after="160"/>
                                    <w:rPr>
                                      <w:color w:val="000000"/>
                                    </w:rPr>
                                  </w:pPr>
                                  <w:r>
                                    <w:rPr>
                                      <w:color w:val="000000"/>
                                      <w:sz w:val="14"/>
                                      <w:szCs w:val="14"/>
                                    </w:rPr>
                                    <w:t>Wegen Vollhaftung der Gesellschafter ist sie im Allgemeinen sehr kreditwürdig- verbesserte Möglichkeit der Fremdkapital-aufbringung!</w:t>
                                  </w:r>
                                </w:p>
                              </w:txbxContent>
                            </wps:txbx>
                            <wps:bodyPr anchor="ctr">
                              <a:prstTxWarp prst="textNoShape"/>
                              <a:noAutofit/>
                            </wps:bodyPr>
                          </wps:wsp>
                        </a:graphicData>
                      </a:graphic>
                    </wp:anchor>
                  </w:drawing>
                </mc:Choice>
                <mc:Fallback>
                  <w:pict>
                    <v:rect id="shape_0" ID="Sprechblase: oval 2" fillcolor="white" stroked="t" style="position:absolute;margin-left:-2.25pt;margin-top:10.7pt;width:104.95pt;height:128.2pt" wp14:anchorId="361AF6EE">
                      <w10:wrap type="square"/>
                      <v:fill o:detectmouseclick="t" type="solid" color2="black"/>
                      <v:stroke color="black" weight="12600" joinstyle="miter" endcap="flat"/>
                      <v:textbox>
                        <w:txbxContent>
                          <w:p>
                            <w:pPr>
                              <w:pStyle w:val="Rahmeninhalt"/>
                              <w:spacing w:before="0" w:after="160"/>
                              <w:rPr>
                                <w:color w:val="000000"/>
                              </w:rPr>
                            </w:pPr>
                            <w:r>
                              <w:rPr>
                                <w:color w:val="000000"/>
                                <w:sz w:val="14"/>
                                <w:szCs w:val="14"/>
                              </w:rPr>
                              <w:t>Wegen Vollhaftung der Gesellschafter ist sie im Allgemeinen sehr kreditwürdig- verbesserte Möglichkeit der Fremdkapital-aufbringung!</w:t>
                            </w:r>
                          </w:p>
                        </w:txbxContent>
                      </v:textbox>
                    </v:rect>
                  </w:pict>
                </mc:Fallback>
              </mc:AlternateContent>
            </w:r>
          </w:p>
        </w:tc>
        <w:tc>
          <w:tcPr>
            <w:tcW w:w="6799" w:type="dxa"/>
            <w:tcBorders/>
            <w:shd w:fill="auto" w:val="clear"/>
          </w:tcPr>
          <w:p>
            <w:pPr>
              <w:pStyle w:val="ListParagraph"/>
              <w:numPr>
                <w:ilvl w:val="0"/>
                <w:numId w:val="3"/>
              </w:numPr>
              <w:tabs>
                <w:tab w:val="clear" w:pos="708"/>
                <w:tab w:val="left" w:pos="211" w:leader="none"/>
              </w:tabs>
              <w:spacing w:lineRule="auto" w:line="240" w:before="0" w:after="0"/>
              <w:ind w:left="183" w:hanging="142"/>
              <w:contextualSpacing/>
              <w:rPr/>
            </w:pPr>
            <w:r>
              <w:rPr/>
              <w:t>ZWINDGENDES RECHT! Auch wenn im Gesellschaftervertrag etwas anderes festgelegt wurde, ist dies Dritten gegenüber unwirksam.</w:t>
            </w:r>
          </w:p>
          <w:p>
            <w:pPr>
              <w:pStyle w:val="ListParagraph"/>
              <w:numPr>
                <w:ilvl w:val="0"/>
                <w:numId w:val="3"/>
              </w:numPr>
              <w:tabs>
                <w:tab w:val="clear" w:pos="708"/>
                <w:tab w:val="left" w:pos="211" w:leader="none"/>
              </w:tabs>
              <w:spacing w:lineRule="auto" w:line="240" w:before="0" w:after="0"/>
              <w:ind w:left="183" w:hanging="142"/>
              <w:contextualSpacing/>
              <w:rPr/>
            </w:pPr>
            <w:r>
              <w:rPr/>
              <w:t>jeder Gesellschafter haftet mit seinem betrieblichen und privaten Vermögen als Gesamtschuldner</w:t>
            </w:r>
          </w:p>
          <w:p>
            <w:pPr>
              <w:pStyle w:val="ListParagraph"/>
              <w:numPr>
                <w:ilvl w:val="0"/>
                <w:numId w:val="3"/>
              </w:numPr>
              <w:tabs>
                <w:tab w:val="clear" w:pos="708"/>
                <w:tab w:val="left" w:pos="211" w:leader="none"/>
              </w:tabs>
              <w:spacing w:lineRule="auto" w:line="240" w:before="0" w:after="0"/>
              <w:ind w:left="183" w:hanging="142"/>
              <w:contextualSpacing/>
              <w:rPr/>
            </w:pPr>
            <w:r>
              <w:rPr>
                <w:b/>
                <w:bCs/>
              </w:rPr>
              <w:t>Unbeschränkt</w:t>
            </w:r>
            <w:r>
              <w:rPr/>
              <w:t>: mit dem gesamten Vermögen</w:t>
            </w:r>
          </w:p>
          <w:p>
            <w:pPr>
              <w:pStyle w:val="ListParagraph"/>
              <w:numPr>
                <w:ilvl w:val="0"/>
                <w:numId w:val="3"/>
              </w:numPr>
              <w:tabs>
                <w:tab w:val="clear" w:pos="708"/>
                <w:tab w:val="left" w:pos="211" w:leader="none"/>
              </w:tabs>
              <w:spacing w:lineRule="auto" w:line="240" w:before="0" w:after="0"/>
              <w:ind w:left="183" w:hanging="142"/>
              <w:contextualSpacing/>
              <w:rPr/>
            </w:pPr>
            <w:r>
              <w:rPr>
                <w:b/>
                <w:bCs/>
              </w:rPr>
              <w:t>Unmittelbar</w:t>
            </w:r>
            <w:r>
              <w:rPr/>
              <w:t xml:space="preserve"> (</w:t>
            </w:r>
            <w:r>
              <w:rPr>
                <w:b/>
                <w:bCs/>
              </w:rPr>
              <w:t>direkt</w:t>
            </w:r>
            <w:r>
              <w:rPr/>
              <w:t xml:space="preserve">, </w:t>
            </w:r>
            <w:r>
              <w:rPr>
                <w:b/>
                <w:bCs/>
              </w:rPr>
              <w:t>persönlich</w:t>
            </w:r>
            <w:r>
              <w:rPr/>
              <w:t>):Gläubiger kann seine Forderung gegen die Gesellschaft oder unmittelbar gegen einen oder mehrere Gesellschafter richten</w:t>
            </w:r>
          </w:p>
          <w:p>
            <w:pPr>
              <w:pStyle w:val="ListParagraph"/>
              <w:numPr>
                <w:ilvl w:val="0"/>
                <w:numId w:val="3"/>
              </w:numPr>
              <w:tabs>
                <w:tab w:val="clear" w:pos="708"/>
                <w:tab w:val="left" w:pos="211" w:leader="none"/>
              </w:tabs>
              <w:spacing w:lineRule="auto" w:line="240" w:before="0" w:after="0"/>
              <w:ind w:left="183" w:hanging="142"/>
              <w:contextualSpacing/>
              <w:rPr/>
            </w:pPr>
            <w:r>
              <w:rPr>
                <w:b/>
                <w:bCs/>
              </w:rPr>
              <w:t xml:space="preserve">Solidarisch (gesamtschuldnerisch): </w:t>
            </w:r>
            <w:r>
              <w:rPr/>
              <w:t>jeder Gesellschafter haftet auch alleine für die gesamten Schulden der Gesellschaft. Er haftet für die anderen Gesellschafter mit. Im Innenverhältnis hat er natürlich einen Ausgleichsanspruch</w:t>
            </w:r>
          </w:p>
        </w:tc>
      </w:tr>
      <w:tr>
        <w:trPr/>
        <w:tc>
          <w:tcPr>
            <w:tcW w:w="2262" w:type="dxa"/>
            <w:tcBorders/>
            <w:shd w:fill="auto" w:val="clear"/>
          </w:tcPr>
          <w:p>
            <w:pPr>
              <w:pStyle w:val="Normal"/>
              <w:spacing w:lineRule="auto" w:line="240" w:before="0" w:after="0"/>
              <w:rPr>
                <w:b/>
                <w:b/>
                <w:bCs/>
              </w:rPr>
            </w:pPr>
            <w:r>
              <w:rPr>
                <w:b/>
                <w:bCs/>
              </w:rPr>
              <w:t>Kündigung</w:t>
            </w:r>
          </w:p>
        </w:tc>
        <w:tc>
          <w:tcPr>
            <w:tcW w:w="6799" w:type="dxa"/>
            <w:tcBorders/>
            <w:shd w:fill="auto" w:val="clear"/>
          </w:tcPr>
          <w:p>
            <w:pPr>
              <w:pStyle w:val="ListParagraph"/>
              <w:numPr>
                <w:ilvl w:val="0"/>
                <w:numId w:val="3"/>
              </w:numPr>
              <w:tabs>
                <w:tab w:val="clear" w:pos="708"/>
                <w:tab w:val="left" w:pos="211" w:leader="none"/>
              </w:tabs>
              <w:spacing w:lineRule="auto" w:line="240" w:before="0" w:after="0"/>
              <w:ind w:left="183" w:hanging="142"/>
              <w:contextualSpacing/>
              <w:rPr/>
            </w:pPr>
            <w:r>
              <w:rPr/>
              <w:t>ein Gesellschafter kann unter Berücksichtigung einer Kündigungsfrist von 6 Monaten zum Ende des Geschäftsjahres kündigen</w:t>
            </w:r>
          </w:p>
        </w:tc>
      </w:tr>
      <w:tr>
        <w:trPr/>
        <w:tc>
          <w:tcPr>
            <w:tcW w:w="2262" w:type="dxa"/>
            <w:tcBorders/>
            <w:shd w:fill="auto" w:val="clear"/>
          </w:tcPr>
          <w:p>
            <w:pPr>
              <w:pStyle w:val="Normal"/>
              <w:spacing w:lineRule="auto" w:line="240" w:before="0" w:after="0"/>
              <w:rPr>
                <w:b/>
                <w:b/>
                <w:bCs/>
              </w:rPr>
            </w:pPr>
            <w:r>
              <w:rPr>
                <w:b/>
                <w:bCs/>
              </w:rPr>
              <w:t>Kapitaleinlagen</w:t>
            </w:r>
          </w:p>
        </w:tc>
        <w:tc>
          <w:tcPr>
            <w:tcW w:w="6799" w:type="dxa"/>
            <w:tcBorders/>
            <w:shd w:fill="auto" w:val="clear"/>
          </w:tcPr>
          <w:p>
            <w:pPr>
              <w:pStyle w:val="ListParagraph"/>
              <w:numPr>
                <w:ilvl w:val="0"/>
                <w:numId w:val="3"/>
              </w:numPr>
              <w:tabs>
                <w:tab w:val="clear" w:pos="708"/>
                <w:tab w:val="left" w:pos="211" w:leader="none"/>
              </w:tabs>
              <w:spacing w:lineRule="auto" w:line="240" w:before="0" w:after="0"/>
              <w:ind w:left="183" w:hanging="142"/>
              <w:contextualSpacing/>
              <w:rPr/>
            </w:pPr>
            <w:r>
              <w:rPr/>
              <w:t>jeder Gesellschafter ist verpflichtet, die vereinbarten Kapitaleinlagen zu erbringen</w:t>
            </w:r>
          </w:p>
          <w:p>
            <w:pPr>
              <w:pStyle w:val="ListParagraph"/>
              <w:numPr>
                <w:ilvl w:val="0"/>
                <w:numId w:val="3"/>
              </w:numPr>
              <w:tabs>
                <w:tab w:val="clear" w:pos="708"/>
                <w:tab w:val="left" w:pos="211" w:leader="none"/>
              </w:tabs>
              <w:spacing w:lineRule="auto" w:line="240" w:before="0" w:after="0"/>
              <w:ind w:left="183" w:hanging="142"/>
              <w:contextualSpacing/>
              <w:rPr/>
            </w:pPr>
            <w:r>
              <w:rPr/>
              <w:t>die Einlage kann erfolgen in bar, als Sacheinlage (z.B Grundstücke, Gebäude, Maschinen…) oder in Rechtswerten (z.B. Patente)</w:t>
            </w:r>
          </w:p>
        </w:tc>
      </w:tr>
      <w:tr>
        <w:trPr/>
        <w:tc>
          <w:tcPr>
            <w:tcW w:w="2262" w:type="dxa"/>
            <w:tcBorders/>
            <w:shd w:fill="auto" w:val="clear"/>
          </w:tcPr>
          <w:p>
            <w:pPr>
              <w:pStyle w:val="Normal"/>
              <w:spacing w:lineRule="auto" w:line="240" w:before="0" w:after="0"/>
              <w:rPr>
                <w:b/>
                <w:b/>
                <w:bCs/>
              </w:rPr>
            </w:pPr>
            <w:r>
              <w:rPr>
                <w:b/>
                <w:bCs/>
              </w:rPr>
              <w:t>Wettbewerbsverbot</w:t>
            </w:r>
          </w:p>
        </w:tc>
        <w:tc>
          <w:tcPr>
            <w:tcW w:w="6799" w:type="dxa"/>
            <w:tcBorders/>
            <w:shd w:fill="auto" w:val="clear"/>
          </w:tcPr>
          <w:p>
            <w:pPr>
              <w:pStyle w:val="ListParagraph"/>
              <w:numPr>
                <w:ilvl w:val="0"/>
                <w:numId w:val="3"/>
              </w:numPr>
              <w:tabs>
                <w:tab w:val="clear" w:pos="708"/>
                <w:tab w:val="left" w:pos="211" w:leader="none"/>
              </w:tabs>
              <w:spacing w:lineRule="auto" w:line="240" w:before="0" w:after="0"/>
              <w:ind w:left="183" w:hanging="142"/>
              <w:contextualSpacing/>
              <w:rPr/>
            </w:pPr>
            <w:r>
              <w:rPr/>
              <w:t>kein Gesellschafter darf ohne Einwilligung der anderen Gesellschafter in derselben Branche eigne Geschäfte machen oder sich als persönlich haftender Gesellschafter beteiligen. Geschieht dies doch, so haben die übrigen Gesellschafter ein Recht auf Schadenersatz. Sie können ihn aus der OHG ausschleißen</w:t>
            </w:r>
          </w:p>
        </w:tc>
      </w:tr>
      <w:tr>
        <w:trPr/>
        <w:tc>
          <w:tcPr>
            <w:tcW w:w="2262" w:type="dxa"/>
            <w:tcBorders/>
            <w:shd w:fill="auto" w:val="clear"/>
          </w:tcPr>
          <w:p>
            <w:pPr>
              <w:pStyle w:val="Normal"/>
              <w:spacing w:lineRule="auto" w:line="240" w:before="0" w:after="0"/>
              <w:rPr>
                <w:b/>
                <w:b/>
                <w:bCs/>
              </w:rPr>
            </w:pPr>
            <w:r>
              <w:rPr>
                <w:b/>
                <w:bCs/>
              </w:rPr>
              <w:t>Auflösung</w:t>
            </w:r>
          </w:p>
        </w:tc>
        <w:tc>
          <w:tcPr>
            <w:tcW w:w="6799" w:type="dxa"/>
            <w:tcBorders/>
            <w:shd w:fill="auto" w:val="clear"/>
          </w:tcPr>
          <w:p>
            <w:pPr>
              <w:pStyle w:val="ListParagraph"/>
              <w:numPr>
                <w:ilvl w:val="0"/>
                <w:numId w:val="3"/>
              </w:numPr>
              <w:tabs>
                <w:tab w:val="clear" w:pos="708"/>
                <w:tab w:val="left" w:pos="211" w:leader="none"/>
              </w:tabs>
              <w:spacing w:lineRule="auto" w:line="240" w:before="0" w:after="0"/>
              <w:ind w:left="183" w:hanging="142"/>
              <w:contextualSpacing/>
              <w:rPr/>
            </w:pPr>
            <w:r>
              <w:rPr/>
              <w:t>erfolgt z.B. durch Zeitablauf, Gesellschafterbeschluss, Liquidation im Insolvenzverfahren oder auf gerichtliche Entscheidung hin.</w:t>
            </w:r>
          </w:p>
          <w:p>
            <w:pPr>
              <w:pStyle w:val="ListParagraph"/>
              <w:numPr>
                <w:ilvl w:val="0"/>
                <w:numId w:val="3"/>
              </w:numPr>
              <w:tabs>
                <w:tab w:val="clear" w:pos="708"/>
                <w:tab w:val="left" w:pos="211" w:leader="none"/>
              </w:tabs>
              <w:spacing w:lineRule="auto" w:line="240" w:before="0" w:after="0"/>
              <w:ind w:left="183" w:hanging="142"/>
              <w:contextualSpacing/>
              <w:rPr/>
            </w:pPr>
            <w:r>
              <w:rPr/>
              <w:t>Tod eines Gesellschafters löst die OHG nicht auf, Erben sind mit dem Anteil abzufinden, die sie bei Auflösung de OHG erhalten würden.</w:t>
            </w:r>
          </w:p>
        </w:tc>
      </w:tr>
    </w:tbl>
    <w:p>
      <w:pPr>
        <w:pStyle w:val="Normal"/>
        <w:rPr/>
      </w:pPr>
      <w:r>
        <w:rPr/>
        <mc:AlternateContent>
          <mc:Choice Requires="wps">
            <w:drawing>
              <wp:anchor behindDoc="0" distT="0" distB="0" distL="0" distR="0" simplePos="0" locked="0" layoutInCell="1" allowOverlap="1" relativeHeight="5" wp14:anchorId="39B2EDF3">
                <wp:simplePos x="0" y="0"/>
                <wp:positionH relativeFrom="column">
                  <wp:posOffset>52705</wp:posOffset>
                </wp:positionH>
                <wp:positionV relativeFrom="paragraph">
                  <wp:posOffset>859155</wp:posOffset>
                </wp:positionV>
                <wp:extent cx="1286510" cy="562610"/>
                <wp:effectExtent l="0" t="0" r="28575" b="28575"/>
                <wp:wrapNone/>
                <wp:docPr id="7" name="Flussdiagramm: Dokument 4"/>
                <a:graphic xmlns:a="http://schemas.openxmlformats.org/drawingml/2006/main">
                  <a:graphicData uri="http://schemas.microsoft.com/office/word/2010/wordprocessingShape">
                    <wps:wsp>
                      <wps:cNvSpPr/>
                      <wps:spPr>
                        <a:xfrm>
                          <a:off x="0" y="0"/>
                          <a:ext cx="1285920" cy="561960"/>
                        </a:xfrm>
                        <a:prstGeom prst="flowChartDocument">
                          <a:avLst/>
                        </a:prstGeom>
                        <a:ln/>
                      </wps:spPr>
                      <wps:style>
                        <a:lnRef idx="2">
                          <a:schemeClr val="dk1"/>
                        </a:lnRef>
                        <a:fillRef idx="1">
                          <a:schemeClr val="lt1"/>
                        </a:fillRef>
                        <a:effectRef idx="0">
                          <a:schemeClr val="dk1"/>
                        </a:effectRef>
                        <a:fontRef idx="minor"/>
                      </wps:style>
                      <wps:txbx>
                        <w:txbxContent>
                          <w:p>
                            <w:pPr>
                              <w:pStyle w:val="Rahmeninhalt"/>
                              <w:spacing w:before="0" w:after="160"/>
                              <w:jc w:val="center"/>
                              <w:rPr>
                                <w:color w:val="000000"/>
                              </w:rPr>
                            </w:pPr>
                            <w:r>
                              <w:rPr>
                                <w:color w:val="000000"/>
                                <w:sz w:val="24"/>
                                <w:szCs w:val="24"/>
                              </w:rPr>
                              <w:t>Pflichten</w:t>
                            </w:r>
                          </w:p>
                        </w:txbxContent>
                      </wps:txbx>
                      <wps:bodyPr anchor="ctr">
                        <a:prstTxWarp prst="textNoShape"/>
                        <a:noAutofit/>
                      </wps:bodyPr>
                    </wps:wsp>
                  </a:graphicData>
                </a:graphic>
              </wp:anchor>
            </w:drawing>
          </mc:Choice>
          <mc:Fallback>
            <w:pict>
              <v:shapetype id="shapetype_114" coordsize="21600,21600" o:spt="114" path="m,l21600,l21600,17322c10800,17322,10800,23922,,20172xe">
                <v:stroke joinstyle="miter"/>
                <v:formulas>
                  <v:f eqn="val 17322"/>
                  <v:f eqn="val 20172"/>
                </v:formulas>
                <v:path gradientshapeok="t" o:connecttype="rect" textboxrect="0,0,21600,@0"/>
              </v:shapetype>
              <v:shape id="shape_0" ID="Flussdiagramm: Dokument 4" fillcolor="white" stroked="t" style="position:absolute;margin-left:4.15pt;margin-top:67.65pt;width:101.2pt;height:44.2pt" wp14:anchorId="39B2EDF3" type="shapetype_114">
                <w10:wrap type="square"/>
                <v:fill o:detectmouseclick="t" type="solid" color2="black"/>
                <v:stroke color="black" weight="12600" joinstyle="miter" endcap="flat"/>
                <v:textbox>
                  <w:txbxContent>
                    <w:p>
                      <w:pPr>
                        <w:pStyle w:val="Rahmeninhalt"/>
                        <w:spacing w:before="0" w:after="160"/>
                        <w:jc w:val="center"/>
                        <w:rPr>
                          <w:color w:val="000000"/>
                        </w:rPr>
                      </w:pPr>
                      <w:r>
                        <w:rPr>
                          <w:color w:val="000000"/>
                          <w:sz w:val="24"/>
                          <w:szCs w:val="24"/>
                        </w:rPr>
                        <w:t>Pflichten</w:t>
                      </w:r>
                    </w:p>
                  </w:txbxContent>
                </v:textbox>
              </v:shape>
            </w:pict>
          </mc:Fallback>
        </mc:AlternateContent>
        <mc:AlternateContent>
          <mc:Choice Requires="wps">
            <w:drawing>
              <wp:anchor behindDoc="0" distT="0" distB="0" distL="0" distR="0" simplePos="0" locked="0" layoutInCell="1" allowOverlap="1" relativeHeight="6" wp14:anchorId="06BF8412">
                <wp:simplePos x="0" y="0"/>
                <wp:positionH relativeFrom="margin">
                  <wp:align>center</wp:align>
                </wp:positionH>
                <wp:positionV relativeFrom="paragraph">
                  <wp:posOffset>913765</wp:posOffset>
                </wp:positionV>
                <wp:extent cx="1286510" cy="562610"/>
                <wp:effectExtent l="0" t="0" r="28575" b="28575"/>
                <wp:wrapNone/>
                <wp:docPr id="9" name="Flussdiagramm: Dokument 6"/>
                <a:graphic xmlns:a="http://schemas.openxmlformats.org/drawingml/2006/main">
                  <a:graphicData uri="http://schemas.microsoft.com/office/word/2010/wordprocessingShape">
                    <wps:wsp>
                      <wps:cNvSpPr/>
                      <wps:spPr>
                        <a:xfrm>
                          <a:off x="0" y="0"/>
                          <a:ext cx="1285920" cy="561960"/>
                        </a:xfrm>
                        <a:prstGeom prst="flowChartDocument">
                          <a:avLst/>
                        </a:prstGeom>
                        <a:ln/>
                      </wps:spPr>
                      <wps:style>
                        <a:lnRef idx="2">
                          <a:schemeClr val="dk1"/>
                        </a:lnRef>
                        <a:fillRef idx="1">
                          <a:schemeClr val="lt1"/>
                        </a:fillRef>
                        <a:effectRef idx="0">
                          <a:schemeClr val="dk1"/>
                        </a:effectRef>
                        <a:fontRef idx="minor"/>
                      </wps:style>
                      <wps:txbx>
                        <w:txbxContent>
                          <w:p>
                            <w:pPr>
                              <w:pStyle w:val="Rahmeninhalt"/>
                              <w:spacing w:before="0" w:after="160"/>
                              <w:jc w:val="center"/>
                              <w:rPr>
                                <w:color w:val="000000"/>
                              </w:rPr>
                            </w:pPr>
                            <w:r>
                              <w:rPr>
                                <w:color w:val="000000"/>
                                <w:sz w:val="24"/>
                                <w:szCs w:val="24"/>
                              </w:rPr>
                              <w:t>Regelungen zur OHG</w:t>
                            </w:r>
                          </w:p>
                        </w:txbxContent>
                      </wps:txbx>
                      <wps:bodyPr anchor="ctr">
                        <a:prstTxWarp prst="textNoShape"/>
                        <a:noAutofit/>
                      </wps:bodyPr>
                    </wps:wsp>
                  </a:graphicData>
                </a:graphic>
              </wp:anchor>
            </w:drawing>
          </mc:Choice>
          <mc:Fallback>
            <w:pict>
              <v:shape id="shape_0" ID="Flussdiagramm: Dokument 6" fillcolor="white" stroked="t" style="position:absolute;margin-left:176.15pt;margin-top:71.95pt;width:101.2pt;height:44.2pt;mso-position-horizontal:center;mso-position-horizontal-relative:margin" wp14:anchorId="06BF8412" type="shapetype_114">
                <w10:wrap type="square"/>
                <v:fill o:detectmouseclick="t" type="solid" color2="black"/>
                <v:stroke color="black" weight="12600" joinstyle="miter" endcap="flat"/>
                <v:textbox>
                  <w:txbxContent>
                    <w:p>
                      <w:pPr>
                        <w:pStyle w:val="Rahmeninhalt"/>
                        <w:spacing w:before="0" w:after="160"/>
                        <w:jc w:val="center"/>
                        <w:rPr>
                          <w:color w:val="000000"/>
                        </w:rPr>
                      </w:pPr>
                      <w:r>
                        <w:rPr>
                          <w:color w:val="000000"/>
                          <w:sz w:val="24"/>
                          <w:szCs w:val="24"/>
                        </w:rPr>
                        <w:t>Regelungen zur OHG</w:t>
                      </w:r>
                    </w:p>
                  </w:txbxContent>
                </v:textbox>
              </v:shape>
            </w:pict>
          </mc:Fallback>
        </mc:AlternateContent>
        <mc:AlternateContent>
          <mc:Choice Requires="wps">
            <w:drawing>
              <wp:anchor behindDoc="0" distT="0" distB="0" distL="0" distR="0" simplePos="0" locked="0" layoutInCell="1" allowOverlap="1" relativeHeight="7" wp14:anchorId="78B8DF5E">
                <wp:simplePos x="0" y="0"/>
                <wp:positionH relativeFrom="column">
                  <wp:posOffset>4281805</wp:posOffset>
                </wp:positionH>
                <wp:positionV relativeFrom="paragraph">
                  <wp:posOffset>897255</wp:posOffset>
                </wp:positionV>
                <wp:extent cx="1286510" cy="562610"/>
                <wp:effectExtent l="0" t="0" r="28575" b="28575"/>
                <wp:wrapNone/>
                <wp:docPr id="11" name="Flussdiagramm: Dokument 7"/>
                <a:graphic xmlns:a="http://schemas.openxmlformats.org/drawingml/2006/main">
                  <a:graphicData uri="http://schemas.microsoft.com/office/word/2010/wordprocessingShape">
                    <wps:wsp>
                      <wps:cNvSpPr/>
                      <wps:spPr>
                        <a:xfrm>
                          <a:off x="0" y="0"/>
                          <a:ext cx="1285920" cy="561960"/>
                        </a:xfrm>
                        <a:prstGeom prst="flowChartDocument">
                          <a:avLst/>
                        </a:prstGeom>
                        <a:ln/>
                      </wps:spPr>
                      <wps:style>
                        <a:lnRef idx="2">
                          <a:schemeClr val="dk1"/>
                        </a:lnRef>
                        <a:fillRef idx="1">
                          <a:schemeClr val="lt1"/>
                        </a:fillRef>
                        <a:effectRef idx="0">
                          <a:schemeClr val="dk1"/>
                        </a:effectRef>
                        <a:fontRef idx="minor"/>
                      </wps:style>
                      <wps:txbx>
                        <w:txbxContent>
                          <w:p>
                            <w:pPr>
                              <w:pStyle w:val="Rahmeninhalt"/>
                              <w:spacing w:before="0" w:after="160"/>
                              <w:jc w:val="center"/>
                              <w:rPr>
                                <w:color w:val="000000"/>
                              </w:rPr>
                            </w:pPr>
                            <w:r>
                              <w:rPr>
                                <w:color w:val="000000"/>
                                <w:sz w:val="24"/>
                                <w:szCs w:val="24"/>
                              </w:rPr>
                              <w:t>Rechte</w:t>
                            </w:r>
                          </w:p>
                        </w:txbxContent>
                      </wps:txbx>
                      <wps:bodyPr anchor="ctr">
                        <a:prstTxWarp prst="textNoShape"/>
                        <a:noAutofit/>
                      </wps:bodyPr>
                    </wps:wsp>
                  </a:graphicData>
                </a:graphic>
              </wp:anchor>
            </w:drawing>
          </mc:Choice>
          <mc:Fallback>
            <w:pict>
              <v:shape id="shape_0" ID="Flussdiagramm: Dokument 7" fillcolor="white" stroked="t" style="position:absolute;margin-left:337.15pt;margin-top:70.65pt;width:101.2pt;height:44.2pt" wp14:anchorId="78B8DF5E" type="shapetype_114">
                <w10:wrap type="square"/>
                <v:fill o:detectmouseclick="t" type="solid" color2="black"/>
                <v:stroke color="black" weight="12600" joinstyle="miter" endcap="flat"/>
                <v:textbox>
                  <w:txbxContent>
                    <w:p>
                      <w:pPr>
                        <w:pStyle w:val="Rahmeninhalt"/>
                        <w:spacing w:before="0" w:after="160"/>
                        <w:jc w:val="center"/>
                        <w:rPr>
                          <w:color w:val="000000"/>
                        </w:rPr>
                      </w:pPr>
                      <w:r>
                        <w:rPr>
                          <w:color w:val="000000"/>
                          <w:sz w:val="24"/>
                          <w:szCs w:val="24"/>
                        </w:rPr>
                        <w:t>Rechte</w:t>
                      </w:r>
                    </w:p>
                  </w:txbxContent>
                </v:textbox>
              </v:shape>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mc:AlternateContent>
          <mc:Choice Requires="wps">
            <w:drawing>
              <wp:anchor behindDoc="0" distT="0" distB="0" distL="0" distR="0" simplePos="0" locked="0" layoutInCell="1" allowOverlap="1" relativeHeight="9" wp14:anchorId="56CB4E3C">
                <wp:simplePos x="0" y="0"/>
                <wp:positionH relativeFrom="column">
                  <wp:posOffset>3680460</wp:posOffset>
                </wp:positionH>
                <wp:positionV relativeFrom="paragraph">
                  <wp:posOffset>11430</wp:posOffset>
                </wp:positionV>
                <wp:extent cx="762635" cy="2467610"/>
                <wp:effectExtent l="38100" t="0" r="19050" b="28575"/>
                <wp:wrapNone/>
                <wp:docPr id="13" name="Geschweifte Klammer rechts 9"/>
                <a:graphic xmlns:a="http://schemas.openxmlformats.org/drawingml/2006/main">
                  <a:graphicData uri="http://schemas.microsoft.com/office/word/2010/wordprocessingShape">
                    <wps:wsp>
                      <wps:cNvSpPr/>
                      <wps:spPr>
                        <a:xfrm rot="10800000">
                          <a:off x="0" y="0"/>
                          <a:ext cx="762120" cy="2467080"/>
                        </a:xfrm>
                        <a:prstGeom prst="rightBrace">
                          <a:avLst>
                            <a:gd name="adj1" fmla="val 8333"/>
                            <a:gd name="adj2" fmla="val 50000"/>
                          </a:avLst>
                        </a:prstGeom>
                        <a:noFill/>
                        <a:ln w="19080">
                          <a:solidFill>
                            <a:srgbClr val="000000"/>
                          </a:solidFill>
                          <a:miter/>
                        </a:ln>
                      </wps:spPr>
                      <wps:style>
                        <a:lnRef idx="0"/>
                        <a:fillRef idx="0"/>
                        <a:effectRef idx="0"/>
                        <a:fontRef idx="minor"/>
                      </wps:style>
                      <wps:bodyPr/>
                    </wps:wsp>
                  </a:graphicData>
                </a:graphic>
              </wp:anchor>
            </w:drawing>
          </mc:Choice>
          <mc:Fallback>
            <w:pict>
              <v:shapetype id="shapetype_88" coordsize="21600,21600" o:spt="88" adj="10800,1800" path="m,qx@13@14l10800@5qy@15@16qx@17@18l10800@6qy@19@20xnsem,qx@13@14l10800@5qy@15@16qx@17@18l10800@6qy@19@20nfe">
                <v:stroke joinstyle="miter"/>
                <v:formulas>
                  <v:f eqn="val #0"/>
                  <v:f eqn="sum 21600 0 @0"/>
                  <v:f eqn="min @1 @0"/>
                  <v:f eqn="prod @2 1 2"/>
                  <v:f eqn="val #1"/>
                  <v:f eqn="sum @0 0 @4"/>
                  <v:f eqn="sum height 0 @4"/>
                  <v:f eqn="sumangle 0 45 0"/>
                  <v:f eqn="cos 10800 @7"/>
                  <v:f eqn="sin @4 @7"/>
                  <v:f eqn="sum 0 @8 0"/>
                  <v:f eqn="sum @4 0 @9"/>
                  <v:f eqn="sum height @9 @4"/>
                  <v:f eqn="sum 10800 0 0"/>
                  <v:f eqn="sum @4 0 0"/>
                  <v:f eqn="sum 10800 10800 0"/>
                  <v:f eqn="sum @4 @5 0"/>
                  <v:f eqn="sum 0 @15 10800"/>
                  <v:f eqn="sum @4 @16 0"/>
                  <v:f eqn="sum 0 10800 10800"/>
                  <v:f eqn="sum @4 @6 0"/>
                </v:formulas>
                <v:path gradientshapeok="t" o:connecttype="rect" textboxrect="0,@11,@10,@12"/>
                <v:handles>
                  <v:h position="10800,@4"/>
                  <v:h position="21600,@0"/>
                </v:handles>
              </v:shapetype>
              <v:shape id="shape_0" ID="Geschweifte Klammer rechts 9" stroked="t" style="position:absolute;margin-left:289.8pt;margin-top:0.9pt;width:59.95pt;height:194.2pt;rotation:180" wp14:anchorId="56CB4E3C" type="shapetype_88">
                <w10:wrap type="none"/>
                <v:fill o:detectmouseclick="t" on="false"/>
                <v:stroke color="black" weight="19080" joinstyle="miter" endcap="flat"/>
              </v:shape>
            </w:pict>
          </mc:Fallback>
        </mc:AlternateContent>
      </w:r>
      <w:r>
        <w:rPr/>
        <w:tab/>
        <w:tab/>
        <w:tab/>
        <w:tab/>
        <w:tab/>
        <w:tab/>
        <w:tab/>
        <w:tab/>
        <w:tab/>
        <w:t xml:space="preserve">          Geschäftsführung</w:t>
      </w:r>
    </w:p>
    <w:p>
      <w:pPr>
        <w:pStyle w:val="Normal"/>
        <w:rPr/>
      </w:pPr>
      <w:r>
        <mc:AlternateContent>
          <mc:Choice Requires="wps">
            <w:drawing>
              <wp:anchor behindDoc="0" distT="0" distB="0" distL="0" distR="0" simplePos="0" locked="0" layoutInCell="1" allowOverlap="1" relativeHeight="8" wp14:anchorId="483B591A">
                <wp:simplePos x="0" y="0"/>
                <wp:positionH relativeFrom="column">
                  <wp:posOffset>1529080</wp:posOffset>
                </wp:positionH>
                <wp:positionV relativeFrom="paragraph">
                  <wp:posOffset>60325</wp:posOffset>
                </wp:positionV>
                <wp:extent cx="648335" cy="2086610"/>
                <wp:effectExtent l="0" t="0" r="38100" b="28575"/>
                <wp:wrapNone/>
                <wp:docPr id="14" name="Geschweifte Klammer rechts 8"/>
                <a:graphic xmlns:a="http://schemas.openxmlformats.org/drawingml/2006/main">
                  <a:graphicData uri="http://schemas.microsoft.com/office/word/2010/wordprocessingShape">
                    <wps:wsp>
                      <wps:cNvSpPr/>
                      <wps:spPr>
                        <a:xfrm>
                          <a:off x="0" y="0"/>
                          <a:ext cx="647640" cy="2085840"/>
                        </a:xfrm>
                        <a:prstGeom prst="rightBrace">
                          <a:avLst>
                            <a:gd name="adj1" fmla="val 8333"/>
                            <a:gd name="adj2" fmla="val 50000"/>
                          </a:avLst>
                        </a:prstGeom>
                        <a:noFill/>
                        <a:ln w="19080"/>
                      </wps:spPr>
                      <wps:style>
                        <a:lnRef idx="1">
                          <a:schemeClr val="dk1"/>
                        </a:lnRef>
                        <a:fillRef idx="0">
                          <a:schemeClr val="dk1"/>
                        </a:fillRef>
                        <a:effectRef idx="0">
                          <a:schemeClr val="dk1"/>
                        </a:effectRef>
                        <a:fontRef idx="minor"/>
                      </wps:style>
                      <wps:bodyPr/>
                    </wps:wsp>
                  </a:graphicData>
                </a:graphic>
              </wp:anchor>
            </w:drawing>
          </mc:Choice>
          <mc:Fallback>
            <w:pict>
              <v:shape id="shape_0" ID="Geschweifte Klammer rechts 8" stroked="t" style="position:absolute;margin-left:120.4pt;margin-top:4.75pt;width:50.95pt;height:164.2pt" wp14:anchorId="483B591A" type="shapetype_88">
                <w10:wrap type="none"/>
                <v:fill o:detectmouseclick="t" on="false"/>
                <v:stroke color="black" weight="19080" joinstyle="miter" endcap="flat"/>
              </v:shape>
            </w:pict>
          </mc:Fallback>
        </mc:AlternateContent>
      </w:r>
      <w:r>
        <w:rPr/>
        <w:t>Leistung der Einlage</w:t>
        <w:tab/>
        <w:tab/>
        <w:tab/>
        <w:tab/>
        <w:tab/>
        <w:tab/>
        <w:tab/>
      </w:r>
    </w:p>
    <w:p>
      <w:pPr>
        <w:pStyle w:val="Normal"/>
        <w:rPr/>
      </w:pPr>
      <w:r>
        <w:rPr/>
        <w:tab/>
        <w:tab/>
        <w:tab/>
        <w:tab/>
        <w:tab/>
        <w:tab/>
        <w:tab/>
        <w:tab/>
        <w:tab/>
        <w:t xml:space="preserve">           Kontrolle</w:t>
        <w:tab/>
      </w:r>
    </w:p>
    <w:p>
      <w:pPr>
        <w:pStyle w:val="Normal"/>
        <w:tabs>
          <w:tab w:val="clear" w:pos="708"/>
          <w:tab w:val="left" w:pos="6930" w:leader="none"/>
          <w:tab w:val="left" w:pos="7200" w:leader="none"/>
        </w:tabs>
        <w:rPr/>
      </w:pPr>
      <w:r>
        <w:rPr/>
        <w:t>Mitarbeit</w:t>
        <w:tab/>
        <w:t>Gewinnanteil</w:t>
      </w:r>
    </w:p>
    <w:p>
      <w:pPr>
        <w:pStyle w:val="Normal"/>
        <w:tabs>
          <w:tab w:val="clear" w:pos="708"/>
          <w:tab w:val="left" w:pos="3855" w:leader="none"/>
        </w:tabs>
        <w:rPr>
          <w:b/>
          <w:b/>
          <w:bCs/>
        </w:rPr>
      </w:pPr>
      <w:r>
        <w:rPr/>
        <w:tab/>
      </w:r>
      <w:r>
        <w:rPr>
          <w:b/>
          <w:bCs/>
        </w:rPr>
        <w:t xml:space="preserve">Innenverhältnis                              </w:t>
        <w:tab/>
        <w:tab/>
        <w:tab/>
      </w:r>
    </w:p>
    <w:p>
      <w:pPr>
        <w:pStyle w:val="Normal"/>
        <w:tabs>
          <w:tab w:val="clear" w:pos="708"/>
          <w:tab w:val="left" w:pos="3855" w:leader="none"/>
        </w:tabs>
        <w:rPr/>
      </w:pPr>
      <w:r>
        <w:rPr/>
        <w:t>Verlustanteil</w:t>
        <w:tab/>
        <w:t>(</w:t>
      </w:r>
      <w:r>
        <w:rPr>
          <w:b/>
          <w:bCs/>
        </w:rPr>
        <w:t>dispositives</w:t>
      </w:r>
      <w:r>
        <w:rPr/>
        <w:t xml:space="preserve"> Recht)                          Privatentnahme</w:t>
      </w:r>
    </w:p>
    <w:p>
      <w:pPr>
        <w:pStyle w:val="Normal"/>
        <w:tabs>
          <w:tab w:val="clear" w:pos="708"/>
          <w:tab w:val="left" w:pos="3855" w:leader="none"/>
        </w:tabs>
        <w:rPr/>
      </w:pPr>
      <w:r>
        <w:rPr/>
        <w:tab/>
      </w:r>
      <w:r>
        <w:rPr>
          <w:b/>
          <w:bCs/>
        </w:rPr>
        <w:t>§109- 122 HGB</w:t>
        <w:tab/>
      </w:r>
    </w:p>
    <w:p>
      <w:pPr>
        <w:pStyle w:val="Normal"/>
        <w:tabs>
          <w:tab w:val="clear" w:pos="708"/>
          <w:tab w:val="left" w:pos="3855" w:leader="none"/>
        </w:tabs>
        <w:rPr/>
      </w:pPr>
      <w:r>
        <w:rPr/>
        <w:t>Wettbewerbsverbot</w:t>
        <w:tab/>
        <w:tab/>
        <w:tab/>
        <w:tab/>
        <w:tab/>
        <w:t xml:space="preserve">          Kündigung</w:t>
      </w:r>
    </w:p>
    <w:p>
      <w:pPr>
        <w:pStyle w:val="Normal"/>
        <w:rPr/>
      </w:pPr>
      <w:r>
        <w:rPr/>
      </w:r>
    </w:p>
    <w:p>
      <w:pPr>
        <w:pStyle w:val="Normal"/>
        <w:tabs>
          <w:tab w:val="clear" w:pos="708"/>
          <w:tab w:val="left" w:pos="5730" w:leader="none"/>
        </w:tabs>
        <w:rPr/>
      </w:pPr>
      <w:r>
        <w:rPr/>
        <w:tab/>
      </w:r>
    </w:p>
    <w:p>
      <w:pPr>
        <w:pStyle w:val="Normal"/>
        <w:rPr/>
      </w:pPr>
      <w:r>
        <w:rPr/>
        <w:t>unbeschränkte Haftung</w:t>
        <w:tab/>
        <w:tab/>
        <w:tab/>
        <w:t xml:space="preserve">        Außenverhältnis</w:t>
      </w:r>
    </w:p>
    <w:p>
      <w:pPr>
        <w:pStyle w:val="Normal"/>
        <w:rPr/>
      </w:pPr>
      <w:r>
        <w:rPr/>
        <w:tab/>
        <w:tab/>
        <w:tab/>
        <w:tab/>
        <w:tab/>
        <w:t xml:space="preserve">        (</w:t>
      </w:r>
      <w:r>
        <w:rPr>
          <w:b/>
          <w:bCs/>
        </w:rPr>
        <w:t>zwingendes</w:t>
      </w:r>
      <w:r>
        <w:rPr/>
        <w:t xml:space="preserve"> Recht)</w:t>
      </w:r>
    </w:p>
    <w:p>
      <w:pPr>
        <w:pStyle w:val="Normal"/>
        <w:widowControl/>
        <w:bidi w:val="0"/>
        <w:spacing w:lineRule="auto" w:line="259" w:before="0" w:after="160"/>
        <w:jc w:val="left"/>
        <w:rPr/>
      </w:pPr>
      <w:r>
        <w:rPr/>
        <w:tab/>
        <w:tab/>
        <w:tab/>
        <w:tab/>
        <w:tab/>
        <w:t xml:space="preserve">         §126, 128 HGB</w:t>
      </w:r>
    </w:p>
    <w:sectPr>
      <w:headerReference w:type="default" r:id="rId2"/>
      <w:type w:val="nextPage"/>
      <w:pgSz w:w="11906" w:h="16838"/>
      <w:pgMar w:left="1417" w:right="1417" w:header="708"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b/>
        <w:b/>
        <w:bCs/>
        <w:sz w:val="20"/>
      </w:rPr>
    </w:pPr>
    <w:r>
      <w:rPr>
        <w:bCs/>
        <w:sz w:val="20"/>
      </w:rPr>
      <w:t xml:space="preserve">Thema: </w:t>
    </w:r>
    <w:r>
      <w:rPr>
        <w:b/>
        <w:bCs/>
        <w:sz w:val="20"/>
      </w:rPr>
      <w:t>Unternehmensformen – OHG</w:t>
    </w:r>
  </w:p>
  <w:p>
    <w:pPr>
      <w:pStyle w:val="Kopfzeile"/>
      <w:rPr/>
    </w:pPr>
    <w:r>
      <w:rPr>
        <w:b/>
        <w:bCs/>
        <w:sz w:val="20"/>
      </w:rPr>
      <w:t>___________________________________________________________________________________________</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Kopfzeile"/>
    <w:uiPriority w:val="99"/>
    <w:qFormat/>
    <w:rsid w:val="00000ac1"/>
    <w:rPr/>
  </w:style>
  <w:style w:type="character" w:styleId="FuzeileZchn" w:customStyle="1">
    <w:name w:val="Fußzeile Zchn"/>
    <w:basedOn w:val="DefaultParagraphFont"/>
    <w:link w:val="Fuzeile"/>
    <w:uiPriority w:val="99"/>
    <w:qFormat/>
    <w:rsid w:val="00000ac1"/>
    <w:rPr/>
  </w:style>
  <w:style w:type="character" w:styleId="Annotationreference">
    <w:name w:val="annotation reference"/>
    <w:basedOn w:val="DefaultParagraphFont"/>
    <w:uiPriority w:val="99"/>
    <w:semiHidden/>
    <w:unhideWhenUsed/>
    <w:qFormat/>
    <w:rsid w:val="00000ac1"/>
    <w:rPr>
      <w:sz w:val="16"/>
      <w:szCs w:val="16"/>
    </w:rPr>
  </w:style>
  <w:style w:type="character" w:styleId="KommentartextZchn" w:customStyle="1">
    <w:name w:val="Kommentartext Zchn"/>
    <w:basedOn w:val="DefaultParagraphFont"/>
    <w:link w:val="Kommentartext"/>
    <w:uiPriority w:val="99"/>
    <w:semiHidden/>
    <w:qFormat/>
    <w:rsid w:val="00000ac1"/>
    <w:rPr>
      <w:sz w:val="20"/>
      <w:szCs w:val="20"/>
    </w:rPr>
  </w:style>
  <w:style w:type="character" w:styleId="KommentarthemaZchn" w:customStyle="1">
    <w:name w:val="Kommentarthema Zchn"/>
    <w:basedOn w:val="KommentartextZchn"/>
    <w:link w:val="Kommentarthema"/>
    <w:uiPriority w:val="99"/>
    <w:semiHidden/>
    <w:qFormat/>
    <w:rsid w:val="00000ac1"/>
    <w:rPr>
      <w:b/>
      <w:bCs/>
      <w:sz w:val="20"/>
      <w:szCs w:val="2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Kopfzeile">
    <w:name w:val="Header"/>
    <w:basedOn w:val="Normal"/>
    <w:link w:val="KopfzeileZchn"/>
    <w:uiPriority w:val="99"/>
    <w:unhideWhenUsed/>
    <w:rsid w:val="00000ac1"/>
    <w:pPr>
      <w:tabs>
        <w:tab w:val="clear" w:pos="708"/>
        <w:tab w:val="center" w:pos="4536" w:leader="none"/>
        <w:tab w:val="right" w:pos="9072" w:leader="none"/>
      </w:tabs>
      <w:spacing w:lineRule="auto" w:line="240" w:before="0" w:after="0"/>
    </w:pPr>
    <w:rPr/>
  </w:style>
  <w:style w:type="paragraph" w:styleId="Fuzeile">
    <w:name w:val="Footer"/>
    <w:basedOn w:val="Normal"/>
    <w:link w:val="FuzeileZchn"/>
    <w:uiPriority w:val="99"/>
    <w:unhideWhenUsed/>
    <w:rsid w:val="00000ac1"/>
    <w:pPr>
      <w:tabs>
        <w:tab w:val="clear" w:pos="708"/>
        <w:tab w:val="center" w:pos="4536" w:leader="none"/>
        <w:tab w:val="right" w:pos="9072" w:leader="none"/>
      </w:tabs>
      <w:spacing w:lineRule="auto" w:line="240" w:before="0" w:after="0"/>
    </w:pPr>
    <w:rPr/>
  </w:style>
  <w:style w:type="paragraph" w:styleId="Annotationtext">
    <w:name w:val="annotation text"/>
    <w:basedOn w:val="Normal"/>
    <w:link w:val="KommentartextZchn"/>
    <w:uiPriority w:val="99"/>
    <w:semiHidden/>
    <w:unhideWhenUsed/>
    <w:qFormat/>
    <w:rsid w:val="00000ac1"/>
    <w:pPr>
      <w:spacing w:lineRule="auto" w:line="240"/>
    </w:pPr>
    <w:rPr>
      <w:sz w:val="20"/>
      <w:szCs w:val="20"/>
    </w:rPr>
  </w:style>
  <w:style w:type="paragraph" w:styleId="Annotationsubject">
    <w:name w:val="annotation subject"/>
    <w:basedOn w:val="Annotationtext"/>
    <w:next w:val="Annotationtext"/>
    <w:link w:val="KommentarthemaZchn"/>
    <w:uiPriority w:val="99"/>
    <w:semiHidden/>
    <w:unhideWhenUsed/>
    <w:qFormat/>
    <w:rsid w:val="00000ac1"/>
    <w:pPr/>
    <w:rPr>
      <w:b/>
      <w:bCs/>
    </w:rPr>
  </w:style>
  <w:style w:type="paragraph" w:styleId="NoSpacing">
    <w:name w:val="No Spacing"/>
    <w:uiPriority w:val="1"/>
    <w:qFormat/>
    <w:rsid w:val="001d33e9"/>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paragraph" w:styleId="ListParagraph">
    <w:name w:val="List Paragraph"/>
    <w:basedOn w:val="Normal"/>
    <w:uiPriority w:val="34"/>
    <w:qFormat/>
    <w:rsid w:val="001d33e9"/>
    <w:pPr>
      <w:spacing w:before="0" w:after="160"/>
      <w:ind w:left="720" w:hanging="0"/>
      <w:contextualSpacing/>
    </w:pPr>
    <w:rPr/>
  </w:style>
  <w:style w:type="paragraph" w:styleId="Rahmeninhalt">
    <w:name w:val="Rahmeninhalt"/>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39"/>
    <w:rsid w:val="001d33e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F46F04-7BA1-4C7F-B249-9652BF777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LibreOffice/6.2.2.2$Windows_X86_64 LibreOffice_project/2b840030fec2aae0fd2658d8d4f9548af4e3518d</Application>
  <Pages>2</Pages>
  <Words>518</Words>
  <Characters>3772</Characters>
  <CharactersWithSpaces>4368</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2021-02-28T14:41:00Z</dcterms:created>
  <dc:creator>Grauel, Marika</dc:creator>
  <dc:description/>
  <dc:language>de-DE</dc:language>
  <cp:lastModifiedBy>Grauel, Marika</cp:lastModifiedBy>
  <cp:lastPrinted>2021-02-28T16:02:00Z</cp:lastPrinted>
  <dcterms:modified xsi:type="dcterms:W3CDTF">2021-02-28T16:04:00Z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