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197"/>
        <w:gridCol w:w="2197"/>
        <w:gridCol w:w="2197"/>
        <w:gridCol w:w="2198"/>
      </w:tblGrid>
      <w:tr w:rsidR="00700601" w:rsidTr="00700601">
        <w:tc>
          <w:tcPr>
            <w:tcW w:w="1276" w:type="dxa"/>
          </w:tcPr>
          <w:p w:rsidR="00700601" w:rsidRDefault="00700601"/>
        </w:tc>
        <w:tc>
          <w:tcPr>
            <w:tcW w:w="2197" w:type="dxa"/>
          </w:tcPr>
          <w:p w:rsidR="00700601" w:rsidRDefault="00700601">
            <w:proofErr w:type="spellStart"/>
            <w:r>
              <w:t>For</w:t>
            </w:r>
            <w:proofErr w:type="spellEnd"/>
          </w:p>
        </w:tc>
        <w:tc>
          <w:tcPr>
            <w:tcW w:w="2197" w:type="dxa"/>
          </w:tcPr>
          <w:p w:rsidR="00700601" w:rsidRDefault="00700601">
            <w:proofErr w:type="spellStart"/>
            <w:r>
              <w:t>While</w:t>
            </w:r>
            <w:proofErr w:type="spellEnd"/>
          </w:p>
        </w:tc>
        <w:tc>
          <w:tcPr>
            <w:tcW w:w="2197" w:type="dxa"/>
          </w:tcPr>
          <w:p w:rsidR="00700601" w:rsidRDefault="00700601">
            <w:r>
              <w:t>Do-</w:t>
            </w:r>
            <w:proofErr w:type="spellStart"/>
            <w:r>
              <w:t>While</w:t>
            </w:r>
            <w:proofErr w:type="spellEnd"/>
          </w:p>
        </w:tc>
        <w:tc>
          <w:tcPr>
            <w:tcW w:w="2198" w:type="dxa"/>
          </w:tcPr>
          <w:p w:rsidR="00700601" w:rsidRDefault="00700601">
            <w:r>
              <w:t xml:space="preserve">Erweiterte </w:t>
            </w:r>
            <w:proofErr w:type="spellStart"/>
            <w:r>
              <w:t>For</w:t>
            </w:r>
            <w:proofErr w:type="spellEnd"/>
          </w:p>
        </w:tc>
      </w:tr>
      <w:tr w:rsidR="00700601" w:rsidTr="00700601">
        <w:tc>
          <w:tcPr>
            <w:tcW w:w="1276" w:type="dxa"/>
          </w:tcPr>
          <w:p w:rsidR="00700601" w:rsidRDefault="00700601">
            <w:r>
              <w:t>Definition</w:t>
            </w:r>
          </w:p>
        </w:tc>
        <w:tc>
          <w:tcPr>
            <w:tcW w:w="2197" w:type="dxa"/>
          </w:tcPr>
          <w:p w:rsidR="00700601" w:rsidRDefault="006C5E89">
            <w:r>
              <w:t xml:space="preserve">Kopfgesteuert, führt Anweisung aus </w:t>
            </w:r>
            <w:proofErr w:type="gramStart"/>
            <w:r>
              <w:t>bis der Zielwert</w:t>
            </w:r>
            <w:proofErr w:type="gramEnd"/>
            <w:r>
              <w:t xml:space="preserve"> erreicht ist</w:t>
            </w:r>
          </w:p>
        </w:tc>
        <w:tc>
          <w:tcPr>
            <w:tcW w:w="2197" w:type="dxa"/>
          </w:tcPr>
          <w:p w:rsidR="00700601" w:rsidRDefault="006C5E89">
            <w:r>
              <w:t>Kopfgesteuert, prüft Bedingung vor Ausführung der Anweisung</w:t>
            </w:r>
          </w:p>
        </w:tc>
        <w:tc>
          <w:tcPr>
            <w:tcW w:w="2197" w:type="dxa"/>
          </w:tcPr>
          <w:p w:rsidR="00700601" w:rsidRDefault="006C5E89">
            <w:r>
              <w:t>Fußgesteuert, prüft Bedingung nach Ausführung der Anweisung</w:t>
            </w:r>
          </w:p>
        </w:tc>
        <w:tc>
          <w:tcPr>
            <w:tcW w:w="2198" w:type="dxa"/>
          </w:tcPr>
          <w:p w:rsidR="00700601" w:rsidRDefault="006C5E89">
            <w:r>
              <w:t>Kopfgesteuert, geht alle Elemente durch und speichert es jeweils in der variable</w:t>
            </w:r>
          </w:p>
        </w:tc>
      </w:tr>
      <w:tr w:rsidR="00700601" w:rsidTr="00700601">
        <w:tc>
          <w:tcPr>
            <w:tcW w:w="1276" w:type="dxa"/>
          </w:tcPr>
          <w:p w:rsidR="00700601" w:rsidRDefault="00700601">
            <w:r>
              <w:t>Syntax</w:t>
            </w:r>
          </w:p>
        </w:tc>
        <w:tc>
          <w:tcPr>
            <w:tcW w:w="2197" w:type="dxa"/>
          </w:tcPr>
          <w:p w:rsidR="00700601" w:rsidRDefault="00700601"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gramEnd"/>
            <w:r>
              <w:t>Initialisierung; Bedingung; Fortschaltung){</w:t>
            </w:r>
          </w:p>
          <w:p w:rsidR="00700601" w:rsidRDefault="00700601">
            <w:r>
              <w:t>Anweisung</w:t>
            </w:r>
            <w:r w:rsidR="006C5E89">
              <w:br/>
            </w:r>
            <w:r>
              <w:t>}</w:t>
            </w:r>
          </w:p>
        </w:tc>
        <w:tc>
          <w:tcPr>
            <w:tcW w:w="2197" w:type="dxa"/>
          </w:tcPr>
          <w:p w:rsidR="00700601" w:rsidRPr="00700601" w:rsidRDefault="00700601" w:rsidP="00700601">
            <w:pPr>
              <w:pStyle w:val="standard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While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gramEnd"/>
            <w:r>
              <w:rPr>
                <w:rFonts w:asciiTheme="minorHAnsi" w:hAnsiTheme="minorHAnsi" w:cstheme="minorHAnsi"/>
              </w:rPr>
              <w:t>Bedingung){</w:t>
            </w:r>
            <w:r>
              <w:rPr>
                <w:rFonts w:asciiTheme="minorHAnsi" w:hAnsiTheme="minorHAnsi" w:cstheme="minorHAnsi"/>
              </w:rPr>
              <w:br/>
              <w:t>Anweisung</w:t>
            </w:r>
            <w:r w:rsidR="006C5E89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97" w:type="dxa"/>
          </w:tcPr>
          <w:p w:rsidR="00700601" w:rsidRDefault="00700601">
            <w:r>
              <w:t>Do{</w:t>
            </w:r>
            <w:r w:rsidR="006C5E89">
              <w:br/>
            </w:r>
            <w:r>
              <w:t>Anweisung</w:t>
            </w:r>
            <w:r w:rsidR="006C5E89">
              <w:br/>
            </w:r>
            <w:r>
              <w:t>}</w:t>
            </w:r>
            <w:proofErr w:type="spellStart"/>
            <w:r>
              <w:t>while</w:t>
            </w:r>
            <w:proofErr w:type="spellEnd"/>
            <w:r>
              <w:t>(Bedingung);</w:t>
            </w:r>
          </w:p>
        </w:tc>
        <w:tc>
          <w:tcPr>
            <w:tcW w:w="2198" w:type="dxa"/>
          </w:tcPr>
          <w:p w:rsidR="00700601" w:rsidRDefault="00700601">
            <w:proofErr w:type="spellStart"/>
            <w:proofErr w:type="gramStart"/>
            <w:r>
              <w:t>For</w:t>
            </w:r>
            <w:proofErr w:type="spellEnd"/>
            <w:r>
              <w:t>(</w:t>
            </w:r>
            <w:proofErr w:type="gramEnd"/>
            <w:r w:rsidR="006C5E89">
              <w:t>V</w:t>
            </w:r>
            <w:r>
              <w:t>ariablentyp</w:t>
            </w:r>
            <w:r w:rsidR="006C5E89">
              <w:t xml:space="preserve"> variable : Sammlung</w:t>
            </w:r>
            <w:r>
              <w:t>){</w:t>
            </w:r>
            <w:r>
              <w:br/>
              <w:t>Anweisung</w:t>
            </w:r>
            <w:r w:rsidR="006C5E89">
              <w:br/>
              <w:t>}</w:t>
            </w:r>
          </w:p>
        </w:tc>
      </w:tr>
      <w:tr w:rsidR="00700601" w:rsidTr="00700601">
        <w:tc>
          <w:tcPr>
            <w:tcW w:w="1276" w:type="dxa"/>
          </w:tcPr>
          <w:p w:rsidR="00700601" w:rsidRDefault="00700601">
            <w:r>
              <w:t>Vorteile</w:t>
            </w:r>
          </w:p>
        </w:tc>
        <w:tc>
          <w:tcPr>
            <w:tcW w:w="2197" w:type="dxa"/>
          </w:tcPr>
          <w:p w:rsidR="00700601" w:rsidRDefault="006C5E89">
            <w:r>
              <w:t>Zählt automatisch die initialisierte Variable um die Fortschaltung bis zur Abbruchbedingung</w:t>
            </w:r>
          </w:p>
        </w:tc>
        <w:tc>
          <w:tcPr>
            <w:tcW w:w="2197" w:type="dxa"/>
          </w:tcPr>
          <w:p w:rsidR="00700601" w:rsidRDefault="000A3F10">
            <w:r>
              <w:t>Wird Solange ausgeführt bis die Bedingung nicht mehr erfüllt ist, ist nicht begrenzt in der Anzahl der Durchläufe</w:t>
            </w:r>
          </w:p>
        </w:tc>
        <w:tc>
          <w:tcPr>
            <w:tcW w:w="2197" w:type="dxa"/>
          </w:tcPr>
          <w:p w:rsidR="00700601" w:rsidRDefault="000A3F10">
            <w:r>
              <w:t xml:space="preserve">Wird mindestens einmal Ausgeführt bevor die Bedingung geprüft, ansonsten selbes wie bei </w:t>
            </w:r>
            <w:proofErr w:type="spellStart"/>
            <w:r>
              <w:t>while</w:t>
            </w:r>
            <w:proofErr w:type="spellEnd"/>
          </w:p>
        </w:tc>
        <w:tc>
          <w:tcPr>
            <w:tcW w:w="2198" w:type="dxa"/>
          </w:tcPr>
          <w:p w:rsidR="00700601" w:rsidRDefault="004929CC">
            <w:r>
              <w:t xml:space="preserve">Mann kann direkt alle Elemente aus einem Datenbehälter auslesen ohne zusätzliche Anweisung, kann keine </w:t>
            </w:r>
            <w:proofErr w:type="spellStart"/>
            <w:r>
              <w:t>OutOfBounds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hervor bringen</w:t>
            </w:r>
          </w:p>
        </w:tc>
      </w:tr>
      <w:tr w:rsidR="00700601" w:rsidTr="00700601">
        <w:tc>
          <w:tcPr>
            <w:tcW w:w="1276" w:type="dxa"/>
          </w:tcPr>
          <w:p w:rsidR="00700601" w:rsidRDefault="00700601">
            <w:r>
              <w:t>Nachteile</w:t>
            </w:r>
          </w:p>
        </w:tc>
        <w:tc>
          <w:tcPr>
            <w:tcW w:w="2197" w:type="dxa"/>
          </w:tcPr>
          <w:p w:rsidR="00700601" w:rsidRDefault="006C5E89">
            <w:r>
              <w:t>Kann nur zählen und keine Logischen Anweisungen verarbeiten, man muss die Anzahl der Schleifendurchläufe kennen</w:t>
            </w:r>
          </w:p>
        </w:tc>
        <w:tc>
          <w:tcPr>
            <w:tcW w:w="2197" w:type="dxa"/>
          </w:tcPr>
          <w:p w:rsidR="00700601" w:rsidRDefault="000A3F10">
            <w:r>
              <w:t>Ist nicht begrenzt in der Anzahl der Durchläufe, wodurch es zu einer Endlosschleife kommen kann.</w:t>
            </w:r>
          </w:p>
        </w:tc>
        <w:tc>
          <w:tcPr>
            <w:tcW w:w="2197" w:type="dxa"/>
          </w:tcPr>
          <w:p w:rsidR="00700601" w:rsidRDefault="000A3F10">
            <w:r>
              <w:t xml:space="preserve">Wird immer mindestens einmal ausgeführt, kann nicht verhindert werden. Ansonsten wie bei </w:t>
            </w:r>
            <w:proofErr w:type="spellStart"/>
            <w:r>
              <w:t>while</w:t>
            </w:r>
            <w:proofErr w:type="spellEnd"/>
          </w:p>
        </w:tc>
        <w:tc>
          <w:tcPr>
            <w:tcW w:w="2198" w:type="dxa"/>
          </w:tcPr>
          <w:p w:rsidR="00700601" w:rsidRDefault="004929CC">
            <w:r>
              <w:t xml:space="preserve">Mann hat keinen Zähler zur </w:t>
            </w:r>
            <w:proofErr w:type="spellStart"/>
            <w:r>
              <w:t>verfügung</w:t>
            </w:r>
            <w:proofErr w:type="spellEnd"/>
            <w:r>
              <w:t xml:space="preserve"> und man kann nur auf den Inhalt des Datenbehälters zugreifen</w:t>
            </w:r>
          </w:p>
        </w:tc>
      </w:tr>
      <w:tr w:rsidR="00700601" w:rsidTr="00700601">
        <w:tc>
          <w:tcPr>
            <w:tcW w:w="1276" w:type="dxa"/>
          </w:tcPr>
          <w:p w:rsidR="00700601" w:rsidRDefault="00700601">
            <w:r>
              <w:t>Beispiel</w:t>
            </w:r>
          </w:p>
        </w:tc>
        <w:tc>
          <w:tcPr>
            <w:tcW w:w="2197" w:type="dxa"/>
          </w:tcPr>
          <w:p w:rsidR="00700601" w:rsidRDefault="006C5E89">
            <w:r>
              <w:t>Siehe Bild 1</w:t>
            </w:r>
          </w:p>
        </w:tc>
        <w:tc>
          <w:tcPr>
            <w:tcW w:w="2197" w:type="dxa"/>
          </w:tcPr>
          <w:p w:rsidR="00700601" w:rsidRDefault="000A3F10">
            <w:r>
              <w:t>Siehe Bild 2</w:t>
            </w:r>
          </w:p>
        </w:tc>
        <w:tc>
          <w:tcPr>
            <w:tcW w:w="2197" w:type="dxa"/>
          </w:tcPr>
          <w:p w:rsidR="00700601" w:rsidRDefault="000A3F10">
            <w:r>
              <w:t>Siehe Bild 3</w:t>
            </w:r>
          </w:p>
        </w:tc>
        <w:tc>
          <w:tcPr>
            <w:tcW w:w="2198" w:type="dxa"/>
          </w:tcPr>
          <w:p w:rsidR="00700601" w:rsidRDefault="004929CC">
            <w:r>
              <w:t>Siehe Bild 4</w:t>
            </w:r>
          </w:p>
        </w:tc>
      </w:tr>
    </w:tbl>
    <w:p w:rsidR="006A5D10" w:rsidRDefault="006C5E89">
      <w:r>
        <w:t>Bild 1:</w:t>
      </w:r>
      <w:r>
        <w:tab/>
      </w:r>
      <w:r>
        <w:tab/>
      </w:r>
      <w:r>
        <w:tab/>
      </w:r>
      <w:r>
        <w:tab/>
      </w:r>
      <w:r>
        <w:tab/>
      </w:r>
      <w:r w:rsidR="000A3F10">
        <w:t>Bild 2:</w:t>
      </w:r>
    </w:p>
    <w:p w:rsidR="000A3F10" w:rsidRDefault="000A3F1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2243455</wp:posOffset>
            </wp:positionH>
            <wp:positionV relativeFrom="paragraph">
              <wp:posOffset>12065</wp:posOffset>
            </wp:positionV>
            <wp:extent cx="2268855" cy="4381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F10">
        <w:drawing>
          <wp:anchor distT="0" distB="0" distL="114300" distR="114300" simplePos="0" relativeHeight="251658240" behindDoc="0" locked="0" layoutInCell="1" allowOverlap="1" wp14:anchorId="2F578BB2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086266" cy="447737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F10" w:rsidRDefault="000A3F1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2224405</wp:posOffset>
            </wp:positionH>
            <wp:positionV relativeFrom="paragraph">
              <wp:posOffset>185420</wp:posOffset>
            </wp:positionV>
            <wp:extent cx="1183640" cy="16764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F10">
        <w:drawing>
          <wp:anchor distT="0" distB="0" distL="114300" distR="114300" simplePos="0" relativeHeight="251659264" behindDoc="0" locked="0" layoutInCell="1" allowOverlap="1" wp14:anchorId="3B040567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1352739" cy="161948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F10" w:rsidRDefault="000A3F10"/>
    <w:p w:rsidR="000A3F10" w:rsidRDefault="000A3F10"/>
    <w:p w:rsidR="000A3F10" w:rsidRDefault="000A3F10"/>
    <w:p w:rsidR="000A3F10" w:rsidRDefault="000A3F10">
      <w:bookmarkStart w:id="0" w:name="_GoBack"/>
      <w:bookmarkEnd w:id="0"/>
    </w:p>
    <w:p w:rsidR="000A3F10" w:rsidRDefault="000A3F10"/>
    <w:p w:rsidR="000A3F10" w:rsidRDefault="000A3F10"/>
    <w:p w:rsidR="000A3F10" w:rsidRDefault="004929CC">
      <w:r w:rsidRPr="004929CC">
        <w:drawing>
          <wp:anchor distT="0" distB="0" distL="114300" distR="114300" simplePos="0" relativeHeight="251664384" behindDoc="0" locked="0" layoutInCell="1" allowOverlap="1" wp14:anchorId="5ABBD61C">
            <wp:simplePos x="0" y="0"/>
            <wp:positionH relativeFrom="column">
              <wp:posOffset>2205355</wp:posOffset>
            </wp:positionH>
            <wp:positionV relativeFrom="paragraph">
              <wp:posOffset>177165</wp:posOffset>
            </wp:positionV>
            <wp:extent cx="2476500" cy="567531"/>
            <wp:effectExtent l="0" t="0" r="0" b="444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565785</wp:posOffset>
            </wp:positionV>
            <wp:extent cx="908050" cy="1285875"/>
            <wp:effectExtent l="0" t="0" r="635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134870" cy="400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47" cy="4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F10">
        <w:t>Bild 3:</w:t>
      </w:r>
      <w:r>
        <w:tab/>
      </w:r>
      <w:r>
        <w:tab/>
      </w:r>
      <w:r>
        <w:tab/>
      </w:r>
      <w:r>
        <w:tab/>
      </w:r>
      <w:r>
        <w:tab/>
        <w:t>Bild 4:</w:t>
      </w:r>
    </w:p>
    <w:p w:rsidR="004929CC" w:rsidRDefault="004929CC">
      <w:r w:rsidRPr="004929CC">
        <w:drawing>
          <wp:anchor distT="0" distB="0" distL="114300" distR="114300" simplePos="0" relativeHeight="251665408" behindDoc="0" locked="0" layoutInCell="1" allowOverlap="1" wp14:anchorId="0D17A081">
            <wp:simplePos x="0" y="0"/>
            <wp:positionH relativeFrom="column">
              <wp:posOffset>2214880</wp:posOffset>
            </wp:positionH>
            <wp:positionV relativeFrom="paragraph">
              <wp:posOffset>491490</wp:posOffset>
            </wp:positionV>
            <wp:extent cx="666843" cy="152421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2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01"/>
    <w:rsid w:val="000A3F10"/>
    <w:rsid w:val="004929CC"/>
    <w:rsid w:val="006A5D10"/>
    <w:rsid w:val="006C5E89"/>
    <w:rsid w:val="0070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292A"/>
  <w15:chartTrackingRefBased/>
  <w15:docId w15:val="{2DB7762F-09B9-4BF0-8032-7C86AAEC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7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Beispiel">
    <w:name w:val="HTML Sample"/>
    <w:basedOn w:val="Absatz-Standardschriftart"/>
    <w:uiPriority w:val="99"/>
    <w:semiHidden/>
    <w:unhideWhenUsed/>
    <w:rsid w:val="00700601"/>
    <w:rPr>
      <w:rFonts w:ascii="Courier New" w:eastAsia="Times New Roman" w:hAnsi="Courier New" w:cs="Courier New"/>
    </w:rPr>
  </w:style>
  <w:style w:type="character" w:customStyle="1" w:styleId="fett">
    <w:name w:val="fett"/>
    <w:basedOn w:val="Absatz-Standardschriftart"/>
    <w:rsid w:val="00700601"/>
  </w:style>
  <w:style w:type="character" w:customStyle="1" w:styleId="kursiv">
    <w:name w:val="kursiv"/>
    <w:basedOn w:val="Absatz-Standardschriftart"/>
    <w:rsid w:val="0070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5ED29-1AA6-48B8-ADDC-F2E4F7AF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89FAF222.dotm</Template>
  <TotalTime>0</TotalTime>
  <Pages>1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1</cp:revision>
  <dcterms:created xsi:type="dcterms:W3CDTF">2020-09-29T07:58:00Z</dcterms:created>
  <dcterms:modified xsi:type="dcterms:W3CDTF">2020-09-29T08:35:00Z</dcterms:modified>
</cp:coreProperties>
</file>