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rPr>
          <w:rFonts w:ascii="Times New Roman" w:cs="Times New Roman" w:eastAsia="Times New Roman" w:hAnsi="Times New Roman"/>
          <w:sz w:val="24"/>
          <w:szCs w:val="24"/>
        </w:rPr>
        <w:t xml:space="preserve"/>
      </w:r>
    </w:p>
    <w:p>
      <w:pPr>
        <w:spacing w:after="360"/>
        <w:jc w:val="center"/>
      </w:pPr>
      <w:r>
        <w:rPr>
          <w:rFonts w:ascii="Arial" w:cs="Arial" w:eastAsia="Arial" w:hAnsi="Arial"/>
          <w:b/>
          <w:bCs/>
          <w:color w:val="1F3864"/>
          <w:sz w:val="44"/>
          <w:szCs w:val="44"/>
        </w:rPr>
        <w:t xml:space="preserve">GÄNGKRIMINALITET I SVERIGE OCH STORBRITANNIEN</w:t>
      </w:r>
    </w:p>
    <w:p>
      <w:pPr>
        <w:spacing w:after="1440"/>
        <w:jc w:val="center"/>
      </w:pPr>
      <w:r>
        <w:rPr>
          <w:rFonts w:ascii="Times New Roman" w:cs="Times New Roman" w:eastAsia="Times New Roman" w:hAnsi="Times New Roman"/>
          <w:i/>
          <w:iCs/>
          <w:color w:val="555555"/>
          <w:sz w:val="32"/>
          <w:szCs w:val="32"/>
        </w:rPr>
        <w:t xml:space="preserve">En jämförande studie</w:t>
      </w:r>
    </w:p>
    <w:p>
      <w:pPr>
        <w:spacing w:after="120"/>
        <w:jc w:val="center"/>
      </w:pPr>
      <w:r>
        <w:rPr>
          <w:rFonts w:ascii="Times New Roman" w:cs="Times New Roman" w:eastAsia="Times New Roman" w:hAnsi="Times New Roman"/>
          <w:color w:val="555555"/>
          <w:sz w:val="24"/>
          <w:szCs w:val="24"/>
        </w:rPr>
        <w:t xml:space="preserve">Institutionen för kriminologi</w:t>
      </w:r>
    </w:p>
    <w:p>
      <w:pPr>
        <w:spacing w:after="120"/>
        <w:jc w:val="center"/>
      </w:pPr>
      <w:r>
        <w:rPr>
          <w:rFonts w:ascii="Times New Roman" w:cs="Times New Roman" w:eastAsia="Times New Roman" w:hAnsi="Times New Roman"/>
          <w:color w:val="555555"/>
          <w:sz w:val="24"/>
          <w:szCs w:val="24"/>
        </w:rPr>
        <w:t xml:space="preserve">Stockholms universitet</w:t>
      </w:r>
    </w:p>
    <w:p>
      <w:pPr>
        <w:spacing w:after="0"/>
        <w:jc w:val="center"/>
      </w:pPr>
      <w:r>
        <w:rPr>
          <w:rFonts w:ascii="Times New Roman" w:cs="Times New Roman" w:eastAsia="Times New Roman" w:hAnsi="Times New Roman"/>
          <w:color w:val="555555"/>
          <w:sz w:val="24"/>
          <w:szCs w:val="24"/>
        </w:rPr>
        <w:t xml:space="preserve">Maj 2026</w:t>
      </w:r>
    </w:p>
    <w:p>
      <w:r>
        <w:br w:type="page"/>
      </w:r>
    </w:p>
    <w:sdt>
      <w:sdtPr>
        <w:alias w:val="Innehållsförteckning"/>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80"/>
      </w:pPr>
      <w:r>
        <w:t xml:space="preserve">1. Inledning</w:t>
      </w:r>
    </w:p>
    <w:p>
      <w:pPr>
        <w:pStyle w:val="Heading2"/>
        <w:spacing w:after="160" w:before="320"/>
      </w:pPr>
      <w:r>
        <w:t xml:space="preserve">1.1 Syfte och frågeställningar</w:t>
      </w:r>
    </w:p>
    <w:p>
      <w:pPr>
        <w:spacing w:after="200" w:line="276"/>
        <w:jc w:val="both"/>
      </w:pPr>
      <w:r>
        <w:rPr>
          <w:rFonts w:ascii="Times New Roman" w:cs="Times New Roman" w:eastAsia="Times New Roman" w:hAnsi="Times New Roman"/>
          <w:sz w:val="24"/>
          <w:szCs w:val="24"/>
        </w:rPr>
        <w:t xml:space="preserve">Denna studie syftar till att jämföra gängkriminalitetens karaktär, omfattning och samhälleliga konsekvenser i Sverige och Storbritannien. Trots att de båda länderna skiljer sig åt i storlek, kultur och rättsliga traditioner uppvisar de anmärkningsvärda likheter vad gäller gängrelaterat våld, narkotikamarknader och rekryteringsmekanismer. Studien utgår från officiell kriminalstatistik, BRÅ-rapporter, brittiska Home Office-publikationer samt internationella undersökningar från EMCDDA.</w:t>
      </w:r>
      <w:hyperlink w:history="1" w:anchor="note_1">
        <w:r>
          <w:rPr>
            <w:rFonts w:ascii="Times New Roman" w:cs="Times New Roman" w:eastAsia="Times New Roman" w:hAnsi="Times New Roman"/>
            <w:color w:val="1155CC"/>
            <w:sz w:val="20"/>
            <w:szCs w:val="20"/>
            <w:vertAlign w:val="superscript"/>
          </w:rPr>
          <w:t xml:space="preserve">1</w:t>
        </w:r>
      </w:hyperlink>
    </w:p>
    <w:p>
      <w:pPr>
        <w:spacing w:after="200" w:line="276"/>
        <w:jc w:val="both"/>
      </w:pPr>
      <w:r>
        <w:rPr>
          <w:rFonts w:ascii="Times New Roman" w:cs="Times New Roman" w:eastAsia="Times New Roman" w:hAnsi="Times New Roman"/>
          <w:sz w:val="24"/>
          <w:szCs w:val="24"/>
        </w:rPr>
        <w:t xml:space="preserve">De centrala frågeställningarna är: (1) Hur har gängkriminaliteten utvecklats i respektive land under perioden 2010–2023? (2) Vilka likheter och skillnader finns avseende skjutvapen, narkotika och rekrytering? (3) Vilka lagstiftnings- och förebyggandestrategier har tillämpats, och med vilka resultat?</w:t>
      </w:r>
    </w:p>
    <w:p>
      <w:pPr>
        <w:pStyle w:val="Heading2"/>
        <w:spacing w:after="160" w:before="320"/>
      </w:pPr>
      <w:r>
        <w:t xml:space="preserve">1.2 Avgränsningar</w:t>
      </w:r>
    </w:p>
    <w:p>
      <w:pPr>
        <w:spacing w:after="200" w:line="276"/>
        <w:jc w:val="both"/>
      </w:pPr>
      <w:r>
        <w:rPr>
          <w:rFonts w:ascii="Times New Roman" w:cs="Times New Roman" w:eastAsia="Times New Roman" w:hAnsi="Times New Roman"/>
          <w:sz w:val="24"/>
          <w:szCs w:val="24"/>
        </w:rPr>
        <w:t xml:space="preserve">Studien fokuserar på organiserade kriminella nätverk och grupperingar snarare än spontant ungdomsvåld eller enstaka gärningspersoner. Tidsperioden är primärt 2010–2023, med viss historisk bakgrund för att belysa de strukturella förutsättningarna. Geografiskt inkluderas hela Sverige med fokus på storstadsregionerna Stockholm, Göteborg och Malmö, samt England och Wales som representanter för brittiska förhållanden. Nordirland och Skottland lämnas utanför studien på grund av deras specifika historiska och juridiska kontexter.</w:t>
      </w:r>
    </w:p>
    <w:p>
      <w:pPr>
        <w:pStyle w:val="Heading1"/>
        <w:spacing w:after="240" w:before="480"/>
      </w:pPr>
      <w:r>
        <w:t xml:space="preserve">2. Bakgrund</w:t>
      </w:r>
    </w:p>
    <w:p>
      <w:pPr>
        <w:pStyle w:val="Heading2"/>
        <w:spacing w:after="160" w:before="320"/>
      </w:pPr>
      <w:r>
        <w:t xml:space="preserve">2.1 Gängkriminalitetens framväxt i Sverige</w:t>
      </w:r>
    </w:p>
    <w:p>
      <w:pPr>
        <w:spacing w:after="200" w:line="276"/>
        <w:jc w:val="both"/>
      </w:pPr>
      <w:r>
        <w:rPr>
          <w:rFonts w:ascii="Times New Roman" w:cs="Times New Roman" w:eastAsia="Times New Roman" w:hAnsi="Times New Roman"/>
          <w:sz w:val="24"/>
          <w:szCs w:val="24"/>
        </w:rPr>
        <w:t xml:space="preserve">Under 1990-talets ekonomiska kris lade sig grogrunden för organiserad brottslighet i svenska förorter. Segregation, hög ungdomsarbetslöshet och bristande integration skapade en miljö där kriminella nätverk kunde rekrytera och expandera. Rikspolisstyrelsen identifierade redan 2009 ett dussintal orter där kriminella nätverk utövade stark påverkan på lokalsamhället och intimiderade vittnen och brottsoffer till tystnad.</w:t>
      </w:r>
      <w:hyperlink w:history="1" w:anchor="note_12">
        <w:r>
          <w:rPr>
            <w:rFonts w:ascii="Times New Roman" w:cs="Times New Roman" w:eastAsia="Times New Roman" w:hAnsi="Times New Roman"/>
            <w:color w:val="1155CC"/>
            <w:sz w:val="20"/>
            <w:szCs w:val="20"/>
            <w:vertAlign w:val="superscript"/>
          </w:rPr>
          <w:t xml:space="preserve">12</w:t>
        </w:r>
      </w:hyperlink>
    </w:p>
    <w:p>
      <w:pPr>
        <w:spacing w:after="200" w:line="276"/>
        <w:jc w:val="both"/>
      </w:pPr>
      <w:r>
        <w:rPr>
          <w:rFonts w:ascii="Times New Roman" w:cs="Times New Roman" w:eastAsia="Times New Roman" w:hAnsi="Times New Roman"/>
          <w:sz w:val="24"/>
          <w:szCs w:val="24"/>
        </w:rPr>
        <w:t xml:space="preserve">Brottsförebyggande rådet konstaterade i sin rapport från 2016 att Sverige hade ett hundratal kriminella nätverk med varierande grad av organisation och sammanhållning.</w:t>
      </w:r>
      <w:hyperlink w:history="1" w:anchor="note_5">
        <w:r>
          <w:rPr>
            <w:rFonts w:ascii="Times New Roman" w:cs="Times New Roman" w:eastAsia="Times New Roman" w:hAnsi="Times New Roman"/>
            <w:color w:val="1155CC"/>
            <w:sz w:val="20"/>
            <w:szCs w:val="20"/>
            <w:vertAlign w:val="superscript"/>
          </w:rPr>
          <w:t xml:space="preserve">5</w:t>
        </w:r>
      </w:hyperlink>
      <w:r>
        <w:rPr>
          <w:rFonts w:ascii="Times New Roman" w:cs="Times New Roman" w:eastAsia="Times New Roman" w:hAnsi="Times New Roman"/>
          <w:sz w:val="24"/>
          <w:szCs w:val="24"/>
        </w:rPr>
        <w:t xml:space="preserve"> Nätverkens lösa struktur – snarare än hierarkiskt organiserade karteller – framhölls som en utmärkande egenskap jämfört med sydeuropeiska och angloamerikanska mönster. Rostami och Mondani har i sin forskning visat att dessa nätverks komplexitet gör dem svåra att kartlägga och bekämpa med traditionella polisiära metoder.</w:t>
      </w:r>
      <w:hyperlink w:history="1" w:anchor="note_4">
        <w:r>
          <w:rPr>
            <w:rFonts w:ascii="Times New Roman" w:cs="Times New Roman" w:eastAsia="Times New Roman" w:hAnsi="Times New Roman"/>
            <w:color w:val="1155CC"/>
            <w:sz w:val="20"/>
            <w:szCs w:val="20"/>
            <w:vertAlign w:val="superscript"/>
          </w:rPr>
          <w:t xml:space="preserve">4</w:t>
        </w:r>
      </w:hyperlink>
    </w:p>
    <w:p>
      <w:pPr>
        <w:spacing w:after="200" w:line="276"/>
        <w:jc w:val="both"/>
      </w:pPr>
      <w:r>
        <w:rPr>
          <w:rFonts w:ascii="Times New Roman" w:cs="Times New Roman" w:eastAsia="Times New Roman" w:hAnsi="Times New Roman"/>
          <w:sz w:val="24"/>
          <w:szCs w:val="24"/>
        </w:rPr>
        <w:t xml:space="preserve">Från år 2015 och framåt accelererade skjutningarna dramatiskt. Konflikter om narkotikamarknader och revir ledde till ett eskalerande hämndvåld som skördade allt fler liv, inklusive oskyldiga bystanders. Händelserna tvingade politiken att prioritera kampen mot gängkriminalitet, och ett antal lagstiftningspaket antogs från 2017 och framåt.</w:t>
      </w:r>
      <w:hyperlink w:history="1" w:anchor="note_9">
        <w:r>
          <w:rPr>
            <w:rFonts w:ascii="Times New Roman" w:cs="Times New Roman" w:eastAsia="Times New Roman" w:hAnsi="Times New Roman"/>
            <w:color w:val="1155CC"/>
            <w:sz w:val="20"/>
            <w:szCs w:val="20"/>
            <w:vertAlign w:val="superscript"/>
          </w:rPr>
          <w:t xml:space="preserve">9</w:t>
        </w:r>
      </w:hyperlink>
    </w:p>
    <w:p>
      <w:pPr>
        <w:pStyle w:val="Heading2"/>
        <w:spacing w:after="160" w:before="320"/>
      </w:pPr>
      <w:r>
        <w:t xml:space="preserve">2.2 Gängkriminalitetens framväxt i Storbritannien</w:t>
      </w:r>
    </w:p>
    <w:p>
      <w:pPr>
        <w:spacing w:after="200" w:line="276"/>
        <w:jc w:val="both"/>
      </w:pPr>
      <w:r>
        <w:rPr>
          <w:rFonts w:ascii="Times New Roman" w:cs="Times New Roman" w:eastAsia="Times New Roman" w:hAnsi="Times New Roman"/>
          <w:sz w:val="24"/>
          <w:szCs w:val="24"/>
        </w:rPr>
        <w:t xml:space="preserve">Brittisk gängkriminalitet har rötter i efterkrigstidens industrialiserade storstäder, men fick sin moderna form under 1980- och 1990-talen med framväxten av narkotikahandeln och territoriella gatugäng. I London, Birmingham och Manchester formerades gäng längs etniska och geografiska gränser i områden präglade av fattigdom och strukturell marginalisering.</w:t>
      </w:r>
      <w:hyperlink w:history="1" w:anchor="note_14">
        <w:r>
          <w:rPr>
            <w:rFonts w:ascii="Times New Roman" w:cs="Times New Roman" w:eastAsia="Times New Roman" w:hAnsi="Times New Roman"/>
            <w:color w:val="1155CC"/>
            <w:sz w:val="20"/>
            <w:szCs w:val="20"/>
            <w:vertAlign w:val="superscript"/>
          </w:rPr>
          <w:t xml:space="preserve">14</w:t>
        </w:r>
      </w:hyperlink>
    </w:p>
    <w:p>
      <w:pPr>
        <w:spacing w:after="200" w:line="276"/>
        <w:jc w:val="both"/>
      </w:pPr>
      <w:r>
        <w:rPr>
          <w:rFonts w:ascii="Times New Roman" w:cs="Times New Roman" w:eastAsia="Times New Roman" w:hAnsi="Times New Roman"/>
          <w:sz w:val="24"/>
          <w:szCs w:val="24"/>
        </w:rPr>
        <w:t xml:space="preserve">Home Office:s </w:t>
      </w:r>
      <w:r>
        <w:rPr>
          <w:rFonts w:ascii="Times New Roman" w:cs="Times New Roman" w:eastAsia="Times New Roman" w:hAnsi="Times New Roman"/>
          <w:i/>
          <w:iCs/>
          <w:sz w:val="24"/>
          <w:szCs w:val="24"/>
        </w:rPr>
        <w:t xml:space="preserve">Serious Violence Strategy</w:t>
      </w:r>
      <w:r>
        <w:rPr>
          <w:rFonts w:ascii="Times New Roman" w:cs="Times New Roman" w:eastAsia="Times New Roman" w:hAnsi="Times New Roman"/>
          <w:sz w:val="24"/>
          <w:szCs w:val="24"/>
        </w:rPr>
        <w:t xml:space="preserve"> från 2018 identifierade ett starkt samband mellan narkotikamarknadens expansion, socioekonomisk utsatthet och gängrelaterat våld.</w:t>
      </w:r>
      <w:hyperlink w:history="1" w:anchor="note_2">
        <w:r>
          <w:rPr>
            <w:rFonts w:ascii="Times New Roman" w:cs="Times New Roman" w:eastAsia="Times New Roman" w:hAnsi="Times New Roman"/>
            <w:color w:val="1155CC"/>
            <w:sz w:val="20"/>
            <w:szCs w:val="20"/>
            <w:vertAlign w:val="superscript"/>
          </w:rPr>
          <w:t xml:space="preserve">2</w:t>
        </w:r>
      </w:hyperlink>
      <w:r>
        <w:rPr>
          <w:rFonts w:ascii="Times New Roman" w:cs="Times New Roman" w:eastAsia="Times New Roman" w:hAnsi="Times New Roman"/>
          <w:sz w:val="24"/>
          <w:szCs w:val="24"/>
        </w:rPr>
        <w:t xml:space="preserve"> Strategin konstaterade att den kraftiga ökningen av knivbrott och skjutningar under perioden 2014–2018 till stor del drevs av konkurrensen om narkotikamarknader och en växande känsla av social exklusion bland unga män i marginaliserade stadsdelar.</w:t>
      </w:r>
    </w:p>
    <w:p>
      <w:pPr>
        <w:spacing w:after="200" w:line="276"/>
        <w:jc w:val="both"/>
      </w:pPr>
      <w:r>
        <w:rPr>
          <w:rFonts w:ascii="Times New Roman" w:cs="Times New Roman" w:eastAsia="Times New Roman" w:hAnsi="Times New Roman"/>
          <w:sz w:val="24"/>
          <w:szCs w:val="24"/>
        </w:rPr>
        <w:t xml:space="preserve">Fenomenet County Lines – där urbana gängmedlemmar organiserar distribution och transport av narkotika till landsbygds- och förortsmiljöer – representerar en ny och allvarlig dimension av brittisk gängkriminalitet. Systemet bygger på att yngre och mer sårbara individer, ibland barn, används som kurirer och mellanled.</w:t>
      </w:r>
      <w:hyperlink w:history="1" w:anchor="note_6">
        <w:r>
          <w:rPr>
            <w:rFonts w:ascii="Times New Roman" w:cs="Times New Roman" w:eastAsia="Times New Roman" w:hAnsi="Times New Roman"/>
            <w:color w:val="1155CC"/>
            <w:sz w:val="20"/>
            <w:szCs w:val="20"/>
            <w:vertAlign w:val="superscript"/>
          </w:rPr>
          <w:t xml:space="preserve">6</w:t>
        </w:r>
      </w:hyperlink>
    </w:p>
    <w:p>
      <w:pPr>
        <w:pStyle w:val="Heading1"/>
        <w:spacing w:after="240" w:before="480"/>
      </w:pPr>
      <w:r>
        <w:t xml:space="preserve">3. Jämförelse: Sverige och Storbritannien</w:t>
      </w:r>
    </w:p>
    <w:p>
      <w:pPr>
        <w:pStyle w:val="Heading2"/>
        <w:spacing w:after="160" w:before="320"/>
      </w:pPr>
      <w:r>
        <w:t xml:space="preserve">3.1 Skjutvapen och sprängattacker</w:t>
      </w:r>
    </w:p>
    <w:p>
      <w:pPr>
        <w:spacing w:after="200" w:line="276"/>
        <w:jc w:val="both"/>
      </w:pPr>
      <w:r>
        <w:rPr>
          <w:rFonts w:ascii="Times New Roman" w:cs="Times New Roman" w:eastAsia="Times New Roman" w:hAnsi="Times New Roman"/>
          <w:sz w:val="24"/>
          <w:szCs w:val="24"/>
        </w:rPr>
        <w:t xml:space="preserve">Sverige sticker ut internationellt med ett högt antal skjutningar per capita jämfört med andra västeuropeiska länder. År 2022 registrerades circa 391 skjutningar i kriminella miljöer, varav 62 var dödliga.</w:t>
      </w:r>
      <w:hyperlink w:history="1" w:anchor="note_1">
        <w:r>
          <w:rPr>
            <w:rFonts w:ascii="Times New Roman" w:cs="Times New Roman" w:eastAsia="Times New Roman" w:hAnsi="Times New Roman"/>
            <w:color w:val="1155CC"/>
            <w:sz w:val="20"/>
            <w:szCs w:val="20"/>
            <w:vertAlign w:val="superscript"/>
          </w:rPr>
          <w:t xml:space="preserve">1</w:t>
        </w:r>
      </w:hyperlink>
      <w:r>
        <w:rPr>
          <w:rFonts w:ascii="Times New Roman" w:cs="Times New Roman" w:eastAsia="Times New Roman" w:hAnsi="Times New Roman"/>
          <w:sz w:val="24"/>
          <w:szCs w:val="24"/>
        </w:rPr>
        <w:t xml:space="preserve"> Därtill ökade sprängattackerna markant från och med 2018, med handgranater och hemmagjorda sprängladdningar smugglade framförallt från Balkan som redskap – ett fenomen som saknar direkt motsvarighet i brittisk kontext. Sprängattackerna riktades mot fastigheter, fordon och offentliga platser och skapade en bred otrygghet hos allmänheten.</w:t>
      </w:r>
    </w:p>
    <w:p>
      <w:pPr>
        <w:spacing w:after="200" w:line="276"/>
        <w:jc w:val="both"/>
      </w:pPr>
      <w:r>
        <w:rPr>
          <w:rFonts w:ascii="Times New Roman" w:cs="Times New Roman" w:eastAsia="Times New Roman" w:hAnsi="Times New Roman"/>
          <w:sz w:val="24"/>
          <w:szCs w:val="24"/>
        </w:rPr>
        <w:t xml:space="preserve">I Storbritannien är skjutvapenanvändningen generellt sett lägre till följd av striktare reglering sedan Dunblane-massakern 1996, men knivsåld dominerar gatuvåldet. Under 2022/23 registrerades drygt 49 000 knivbrott i England och Wales. Dödliga skjutningar uppgick till circa 30 fall per år, men vapenbrott totalt – inklusive olagligt innehav – översteg 7 600 fall.</w:t>
      </w:r>
      <w:hyperlink w:history="1" w:anchor="note_6">
        <w:r>
          <w:rPr>
            <w:rFonts w:ascii="Times New Roman" w:cs="Times New Roman" w:eastAsia="Times New Roman" w:hAnsi="Times New Roman"/>
            <w:color w:val="1155CC"/>
            <w:sz w:val="20"/>
            <w:szCs w:val="20"/>
            <w:vertAlign w:val="superscript"/>
          </w:rPr>
          <w:t xml:space="preserve">6</w:t>
        </w:r>
      </w:hyperlink>
    </w:p>
    <w:p>
      <w:pPr>
        <w:pStyle w:val="Heading2"/>
        <w:spacing w:after="160" w:before="320"/>
      </w:pPr>
      <w:r>
        <w:t xml:space="preserve">3.2 Narkotikamarknader och rekrytering</w:t>
      </w:r>
    </w:p>
    <w:p>
      <w:pPr>
        <w:spacing w:after="200" w:line="276"/>
        <w:jc w:val="both"/>
      </w:pPr>
      <w:r>
        <w:rPr>
          <w:rFonts w:ascii="Times New Roman" w:cs="Times New Roman" w:eastAsia="Times New Roman" w:hAnsi="Times New Roman"/>
          <w:sz w:val="24"/>
          <w:szCs w:val="24"/>
        </w:rPr>
        <w:t xml:space="preserve">Narkotikahandeln utgör den ekonomiska motorn i gängens verksamhet i båda länderna. I Sverige dominerar cannabis, amfetamin och kokain, medan opioidmarknaden är relativt begränsad jämfört med brittiska förhållanden.</w:t>
      </w:r>
      <w:hyperlink w:history="1" w:anchor="note_7">
        <w:r>
          <w:rPr>
            <w:rFonts w:ascii="Times New Roman" w:cs="Times New Roman" w:eastAsia="Times New Roman" w:hAnsi="Times New Roman"/>
            <w:color w:val="1155CC"/>
            <w:sz w:val="20"/>
            <w:szCs w:val="20"/>
            <w:vertAlign w:val="superscript"/>
          </w:rPr>
          <w:t xml:space="preserve">7</w:t>
        </w:r>
      </w:hyperlink>
      <w:r>
        <w:rPr>
          <w:rFonts w:ascii="Times New Roman" w:cs="Times New Roman" w:eastAsia="Times New Roman" w:hAnsi="Times New Roman"/>
          <w:sz w:val="24"/>
          <w:szCs w:val="24"/>
        </w:rPr>
        <w:t xml:space="preserve"> EMCDDA:s rapport från 2023 konstaterar att den europeiska narkotikamarknaden har expanderat kraftigt, med ökad potens i cannabis och ökad tillgänglighet av syntetiska droger som fentanyl och designerdroger.</w:t>
      </w:r>
      <w:hyperlink w:history="1" w:anchor="note_3">
        <w:r>
          <w:rPr>
            <w:rFonts w:ascii="Times New Roman" w:cs="Times New Roman" w:eastAsia="Times New Roman" w:hAnsi="Times New Roman"/>
            <w:color w:val="1155CC"/>
            <w:sz w:val="20"/>
            <w:szCs w:val="20"/>
            <w:vertAlign w:val="superscript"/>
          </w:rPr>
          <w:t xml:space="preserve">3</w:t>
        </w:r>
      </w:hyperlink>
    </w:p>
    <w:p>
      <w:pPr>
        <w:spacing w:after="200" w:line="276"/>
        <w:jc w:val="both"/>
      </w:pPr>
      <w:r>
        <w:rPr>
          <w:rFonts w:ascii="Times New Roman" w:cs="Times New Roman" w:eastAsia="Times New Roman" w:hAnsi="Times New Roman"/>
          <w:sz w:val="24"/>
          <w:szCs w:val="24"/>
        </w:rPr>
        <w:t xml:space="preserve">Rekryteringen till kriminella nätverk sker i båda länderna tidigt – ofta i åldrarna 13–16 år – och riktar sig mot ungdomar med svaga skolprestationer, instabila familjeförhållanden och låg socioekonomisk status.</w:t>
      </w:r>
      <w:hyperlink w:history="1" w:anchor="note_10">
        <w:r>
          <w:rPr>
            <w:rFonts w:ascii="Times New Roman" w:cs="Times New Roman" w:eastAsia="Times New Roman" w:hAnsi="Times New Roman"/>
            <w:color w:val="1155CC"/>
            <w:sz w:val="20"/>
            <w:szCs w:val="20"/>
            <w:vertAlign w:val="superscript"/>
          </w:rPr>
          <w:t xml:space="preserve">10</w:t>
        </w:r>
      </w:hyperlink>
      <w:r>
        <w:rPr>
          <w:rFonts w:ascii="Times New Roman" w:cs="Times New Roman" w:eastAsia="Times New Roman" w:hAnsi="Times New Roman"/>
          <w:sz w:val="24"/>
          <w:szCs w:val="24"/>
        </w:rPr>
        <w:t xml:space="preserve"> I Sverige sker rekryteringen primärt i socialt utsatta förorter, medan brittiska gäng i allt högre grad använder sociala medier och County Lines-strukturer för att nå potentiella rekryter långt utanför storstäderna.</w:t>
      </w:r>
      <w:hyperlink w:history="1" w:anchor="note_2">
        <w:r>
          <w:rPr>
            <w:rFonts w:ascii="Times New Roman" w:cs="Times New Roman" w:eastAsia="Times New Roman" w:hAnsi="Times New Roman"/>
            <w:color w:val="1155CC"/>
            <w:sz w:val="20"/>
            <w:szCs w:val="20"/>
            <w:vertAlign w:val="superscript"/>
          </w:rPr>
          <w:t xml:space="preserve">2</w:t>
        </w:r>
      </w:hyperlink>
    </w:p>
    <w:p>
      <w:pPr>
        <w:pStyle w:val="Heading2"/>
        <w:spacing w:after="160" w:before="320"/>
      </w:pPr>
      <w:r>
        <w:t xml:space="preserve">3.3 Geografisk koncentration</w:t>
      </w:r>
    </w:p>
    <w:p>
      <w:pPr>
        <w:spacing w:after="200" w:line="276"/>
        <w:jc w:val="both"/>
      </w:pPr>
      <w:r>
        <w:rPr>
          <w:rFonts w:ascii="Times New Roman" w:cs="Times New Roman" w:eastAsia="Times New Roman" w:hAnsi="Times New Roman"/>
          <w:sz w:val="24"/>
          <w:szCs w:val="24"/>
        </w:rPr>
        <w:t xml:space="preserve">I Sverige är gängkriminaliteten primärt koncentrerad till de tre storstadsregionerna Stockholm, Göteborg och Malmö. Polismyndighetens kartläggning identifierar ett 60-tal utsatta områden med förhöjd brottslighet och begränsad polisiär tillgång.</w:t>
      </w:r>
      <w:hyperlink w:history="1" w:anchor="note_8">
        <w:r>
          <w:rPr>
            <w:rFonts w:ascii="Times New Roman" w:cs="Times New Roman" w:eastAsia="Times New Roman" w:hAnsi="Times New Roman"/>
            <w:color w:val="1155CC"/>
            <w:sz w:val="20"/>
            <w:szCs w:val="20"/>
            <w:vertAlign w:val="superscript"/>
          </w:rPr>
          <w:t xml:space="preserve">8</w:t>
        </w:r>
      </w:hyperlink>
      <w:r>
        <w:rPr>
          <w:rFonts w:ascii="Times New Roman" w:cs="Times New Roman" w:eastAsia="Times New Roman" w:hAnsi="Times New Roman"/>
          <w:sz w:val="24"/>
          <w:szCs w:val="24"/>
        </w:rPr>
        <w:t xml:space="preserve"> Malmö har historiskt haft den högsta skjutningsfrekvensen per capita, men Stockholmsregionens förorter – däribland Botkyrka, Järfälla och Tensta – har under 2020-talet blivit allt mer drabbade.</w:t>
      </w:r>
      <w:hyperlink w:history="1" w:anchor="note_15">
        <w:r>
          <w:rPr>
            <w:rFonts w:ascii="Times New Roman" w:cs="Times New Roman" w:eastAsia="Times New Roman" w:hAnsi="Times New Roman"/>
            <w:color w:val="1155CC"/>
            <w:sz w:val="20"/>
            <w:szCs w:val="20"/>
            <w:vertAlign w:val="superscript"/>
          </w:rPr>
          <w:t xml:space="preserve">15</w:t>
        </w:r>
      </w:hyperlink>
    </w:p>
    <w:p>
      <w:pPr>
        <w:spacing w:after="200" w:line="276"/>
        <w:jc w:val="both"/>
      </w:pPr>
      <w:r>
        <w:rPr>
          <w:rFonts w:ascii="Times New Roman" w:cs="Times New Roman" w:eastAsia="Times New Roman" w:hAnsi="Times New Roman"/>
          <w:sz w:val="24"/>
          <w:szCs w:val="24"/>
        </w:rPr>
        <w:t xml:space="preserve">I Storbritannien är London, Birmingham och Manchester de mest drabbade städerna. Inom London uppvisar stadsdelarna Hackney, Lambeth och Tower Hamlets de högsta nivåerna av gängrelaterat våld. County Lines-fenomenet har emellertid spridit gängkriminaliteten till mindre städer som Bristol, Leeds och Norwich, vilket förändrar geografins traditionella mönster.</w:t>
      </w:r>
      <w:hyperlink w:history="1" w:anchor="note_14">
        <w:r>
          <w:rPr>
            <w:rFonts w:ascii="Times New Roman" w:cs="Times New Roman" w:eastAsia="Times New Roman" w:hAnsi="Times New Roman"/>
            <w:color w:val="1155CC"/>
            <w:sz w:val="20"/>
            <w:szCs w:val="20"/>
            <w:vertAlign w:val="superscript"/>
          </w:rPr>
          <w:t xml:space="preserve">14</w:t>
        </w:r>
      </w:hyperlink>
    </w:p>
    <w:p>
      <w:pPr>
        <w:pStyle w:val="Heading2"/>
        <w:spacing w:after="160" w:before="320"/>
      </w:pPr>
      <w:r>
        <w:t xml:space="preserve">3.4 Dödlighet och brottsstatistik</w:t>
      </w:r>
    </w:p>
    <w:p>
      <w:pPr>
        <w:spacing w:after="160" w:before="240"/>
        <w:jc w:val="center"/>
      </w:pPr>
      <w:r>
        <w:rPr>
          <w:rFonts w:ascii="Times New Roman" w:cs="Times New Roman" w:eastAsia="Times New Roman" w:hAnsi="Times New Roman"/>
          <w:i/>
          <w:iCs/>
          <w:color w:val="555555"/>
          <w:sz w:val="22"/>
          <w:szCs w:val="22"/>
        </w:rPr>
        <w:t xml:space="preserve">Tabell 1: Jämförande nyckelstatistik – Sverige och Storbritannien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70"/>
        <w:gridCol w:w="2750"/>
        <w:gridCol w:w="2750"/>
      </w:tblGrid>
      <w:tr>
        <w:tc>
          <w:tcPr>
            <w:tcW w:type="dxa" w:w="357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pPr>
              <w:spacing w:after="0"/>
              <w:jc w:val="center"/>
            </w:pPr>
            <w:r>
              <w:rPr>
                <w:rFonts w:ascii="Arial" w:cs="Arial" w:eastAsia="Arial" w:hAnsi="Arial"/>
                <w:b/>
                <w:bCs/>
                <w:color w:val="FFFFFF"/>
                <w:sz w:val="22"/>
                <w:szCs w:val="22"/>
              </w:rPr>
              <w:t xml:space="preserve">Kategori</w:t>
            </w:r>
          </w:p>
        </w:tc>
        <w:tc>
          <w:tcPr>
            <w:tcW w:type="dxa" w:w="275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pPr>
              <w:spacing w:after="0"/>
              <w:jc w:val="center"/>
            </w:pPr>
            <w:r>
              <w:rPr>
                <w:rFonts w:ascii="Arial" w:cs="Arial" w:eastAsia="Arial" w:hAnsi="Arial"/>
                <w:b/>
                <w:bCs/>
                <w:color w:val="FFFFFF"/>
                <w:sz w:val="22"/>
                <w:szCs w:val="22"/>
              </w:rPr>
              <w:t xml:space="preserve">Sverige</w:t>
            </w:r>
          </w:p>
        </w:tc>
        <w:tc>
          <w:tcPr>
            <w:tcW w:type="dxa" w:w="2750"/>
            <w:tcBorders>
              <w:top w:val="single" w:color="AAAAAA" w:sz="1"/>
              <w:left w:val="single" w:color="AAAAAA" w:sz="1"/>
              <w:bottom w:val="single" w:color="AAAAAA" w:sz="1"/>
              <w:right w:val="single" w:color="AAAAAA" w:sz="1"/>
            </w:tcBorders>
            <w:shd w:fill="1F3864" w:val="clear"/>
            <w:tcMar>
              <w:top w:type="dxa" w:w="100"/>
              <w:left w:type="dxa" w:w="130"/>
              <w:bottom w:type="dxa" w:w="100"/>
              <w:right w:type="dxa" w:w="130"/>
            </w:tcMar>
            <w:vAlign w:val="center"/>
          </w:tcPr>
          <w:p>
            <w:pPr>
              <w:spacing w:after="0"/>
              <w:jc w:val="center"/>
            </w:pPr>
            <w:r>
              <w:rPr>
                <w:rFonts w:ascii="Arial" w:cs="Arial" w:eastAsia="Arial" w:hAnsi="Arial"/>
                <w:b/>
                <w:bCs/>
                <w:color w:val="FFFFFF"/>
                <w:sz w:val="22"/>
                <w:szCs w:val="22"/>
              </w:rPr>
              <w:t xml:space="preserve">Storbritannien</w:t>
            </w:r>
          </w:p>
        </w:tc>
      </w:tr>
      <w:tr>
        <w:tc>
          <w:tcPr>
            <w:tcW w:type="dxa" w:w="3570"/>
            <w:tcBorders>
              <w:top w:val="single" w:color="AAAAAA" w:sz="1"/>
              <w:left w:val="single" w:color="AAAAAA" w:sz="1"/>
              <w:bottom w:val="single" w:color="AAAAAA" w:sz="1"/>
              <w:right w:val="single" w:color="AAAAAA" w:sz="1"/>
            </w:tcBorders>
            <w:shd w:fill="EDF2F7" w:val="clear"/>
            <w:tcMar>
              <w:top w:type="dxa" w:w="80"/>
              <w:left w:type="dxa" w:w="130"/>
              <w:bottom w:type="dxa" w:w="80"/>
              <w:right w:type="dxa" w:w="130"/>
            </w:tcMar>
          </w:tcPr>
          <w:p>
            <w:pPr>
              <w:spacing w:after="0" w:line="240"/>
            </w:pPr>
            <w:r>
              <w:rPr>
                <w:rFonts w:ascii="Times New Roman" w:cs="Times New Roman" w:eastAsia="Times New Roman" w:hAnsi="Times New Roman"/>
                <w:b/>
                <w:bCs/>
                <w:sz w:val="24"/>
                <w:szCs w:val="24"/>
              </w:rPr>
              <w:t xml:space="preserve">Skjutningar totalt (2022)</w:t>
            </w:r>
          </w:p>
        </w:tc>
        <w:tc>
          <w:tcPr>
            <w:tcW w:type="dxa" w:w="2750"/>
            <w:tcBorders>
              <w:top w:val="single" w:color="AAAAAA" w:sz="1"/>
              <w:left w:val="single" w:color="AAAAAA" w:sz="1"/>
              <w:bottom w:val="single" w:color="AAAAAA" w:sz="1"/>
              <w:right w:val="single" w:color="AAAAAA" w:sz="1"/>
            </w:tcBorders>
            <w:shd w:fill="EDF2F7" w:val="clear"/>
            <w:tcMar>
              <w:top w:type="dxa" w:w="80"/>
              <w:left w:type="dxa" w:w="130"/>
              <w:bottom w:type="dxa" w:w="80"/>
              <w:right w:type="dxa" w:w="130"/>
            </w:tcMar>
          </w:tcPr>
          <w:p>
            <w:pPr>
              <w:spacing w:after="0" w:line="240"/>
            </w:pPr>
            <w:r>
              <w:rPr>
                <w:rFonts w:ascii="Times New Roman" w:cs="Times New Roman" w:eastAsia="Times New Roman" w:hAnsi="Times New Roman"/>
                <w:sz w:val="24"/>
                <w:szCs w:val="24"/>
              </w:rPr>
              <w:t xml:space="preserve">ca 391</w:t>
            </w:r>
          </w:p>
        </w:tc>
        <w:tc>
          <w:tcPr>
            <w:tcW w:type="dxa" w:w="2750"/>
            <w:tcBorders>
              <w:top w:val="single" w:color="AAAAAA" w:sz="1"/>
              <w:left w:val="single" w:color="AAAAAA" w:sz="1"/>
              <w:bottom w:val="single" w:color="AAAAAA" w:sz="1"/>
              <w:right w:val="single" w:color="AAAAAA" w:sz="1"/>
            </w:tcBorders>
            <w:shd w:fill="EDF2F7" w:val="clear"/>
            <w:tcMar>
              <w:top w:type="dxa" w:w="80"/>
              <w:left w:type="dxa" w:w="130"/>
              <w:bottom w:type="dxa" w:w="80"/>
              <w:right w:type="dxa" w:w="130"/>
            </w:tcMar>
          </w:tcPr>
          <w:p>
            <w:pPr>
              <w:spacing w:after="0" w:line="240"/>
            </w:pPr>
            <w:r>
              <w:rPr>
                <w:rFonts w:ascii="Times New Roman" w:cs="Times New Roman" w:eastAsia="Times New Roman" w:hAnsi="Times New Roman"/>
                <w:sz w:val="24"/>
                <w:szCs w:val="24"/>
              </w:rPr>
              <w:t xml:space="preserve">ca 7 600 vapenbrott</w:t>
            </w:r>
          </w:p>
        </w:tc>
      </w:tr>
      <w:tr>
        <w:tc>
          <w:tcPr>
            <w:tcW w:type="dxa" w:w="3570"/>
            <w:tcBorders>
              <w:top w:val="single" w:color="AAAAAA" w:sz="1"/>
              <w:left w:val="single" w:color="AAAAAA" w:sz="1"/>
              <w:bottom w:val="single" w:color="AAAAAA" w:sz="1"/>
              <w:right w:val="single" w:color="AAAAAA" w:sz="1"/>
            </w:tcBorders>
            <w:tcMar>
              <w:top w:type="dxa" w:w="80"/>
              <w:left w:type="dxa" w:w="130"/>
              <w:bottom w:type="dxa" w:w="80"/>
              <w:right w:type="dxa" w:w="130"/>
            </w:tcMar>
          </w:tcPr>
          <w:p>
            <w:pPr>
              <w:spacing w:after="0" w:line="240"/>
            </w:pPr>
            <w:r>
              <w:rPr>
                <w:rFonts w:ascii="Times New Roman" w:cs="Times New Roman" w:eastAsia="Times New Roman" w:hAnsi="Times New Roman"/>
                <w:b/>
                <w:bCs/>
                <w:sz w:val="24"/>
                <w:szCs w:val="24"/>
              </w:rPr>
              <w:t xml:space="preserve">Dödliga skjutningar (2022)</w:t>
            </w:r>
          </w:p>
        </w:tc>
        <w:tc>
          <w:tcPr>
            <w:tcW w:type="dxa" w:w="2750"/>
            <w:tcBorders>
              <w:top w:val="single" w:color="AAAAAA" w:sz="1"/>
              <w:left w:val="single" w:color="AAAAAA" w:sz="1"/>
              <w:bottom w:val="single" w:color="AAAAAA" w:sz="1"/>
              <w:right w:val="single" w:color="AAAAAA" w:sz="1"/>
            </w:tcBorders>
            <w:tcMar>
              <w:top w:type="dxa" w:w="80"/>
              <w:left w:type="dxa" w:w="130"/>
              <w:bottom w:type="dxa" w:w="80"/>
              <w:right w:type="dxa" w:w="130"/>
            </w:tcMar>
          </w:tcPr>
          <w:p>
            <w:pPr>
              <w:spacing w:after="0" w:line="240"/>
            </w:pPr>
            <w:r>
              <w:rPr>
                <w:rFonts w:ascii="Times New Roman" w:cs="Times New Roman" w:eastAsia="Times New Roman" w:hAnsi="Times New Roman"/>
                <w:sz w:val="24"/>
                <w:szCs w:val="24"/>
              </w:rPr>
              <w:t xml:space="preserve">62</w:t>
            </w:r>
          </w:p>
        </w:tc>
        <w:tc>
          <w:tcPr>
            <w:tcW w:type="dxa" w:w="2750"/>
            <w:tcBorders>
              <w:top w:val="single" w:color="AAAAAA" w:sz="1"/>
              <w:left w:val="single" w:color="AAAAAA" w:sz="1"/>
              <w:bottom w:val="single" w:color="AAAAAA" w:sz="1"/>
              <w:right w:val="single" w:color="AAAAAA" w:sz="1"/>
            </w:tcBorders>
            <w:tcMar>
              <w:top w:type="dxa" w:w="80"/>
              <w:left w:type="dxa" w:w="130"/>
              <w:bottom w:type="dxa" w:w="80"/>
              <w:right w:type="dxa" w:w="130"/>
            </w:tcMar>
          </w:tcPr>
          <w:p>
            <w:pPr>
              <w:spacing w:after="0" w:line="240"/>
            </w:pPr>
            <w:r>
              <w:rPr>
                <w:rFonts w:ascii="Times New Roman" w:cs="Times New Roman" w:eastAsia="Times New Roman" w:hAnsi="Times New Roman"/>
                <w:sz w:val="24"/>
                <w:szCs w:val="24"/>
              </w:rPr>
              <w:t xml:space="preserve">ca 30</w:t>
            </w:r>
          </w:p>
        </w:tc>
      </w:tr>
      <w:tr>
        <w:tc>
          <w:tcPr>
            <w:tcW w:type="dxa" w:w="3570"/>
            <w:tcBorders>
              <w:top w:val="single" w:color="AAAAAA" w:sz="1"/>
              <w:left w:val="single" w:color="AAAAAA" w:sz="1"/>
              <w:bottom w:val="single" w:color="AAAAAA" w:sz="1"/>
              <w:right w:val="single" w:color="AAAAAA" w:sz="1"/>
            </w:tcBorders>
            <w:shd w:fill="EDF2F7" w:val="clear"/>
            <w:tcMar>
              <w:top w:type="dxa" w:w="80"/>
              <w:left w:type="dxa" w:w="130"/>
              <w:bottom w:type="dxa" w:w="80"/>
              <w:right w:type="dxa" w:w="130"/>
            </w:tcMar>
          </w:tcPr>
          <w:p>
            <w:pPr>
              <w:spacing w:after="0" w:line="240"/>
            </w:pPr>
            <w:r>
              <w:rPr>
                <w:rFonts w:ascii="Times New Roman" w:cs="Times New Roman" w:eastAsia="Times New Roman" w:hAnsi="Times New Roman"/>
                <w:b/>
                <w:bCs/>
                <w:sz w:val="24"/>
                <w:szCs w:val="24"/>
              </w:rPr>
              <w:t xml:space="preserve">Uppskattade gängmedlemmar</w:t>
            </w:r>
          </w:p>
        </w:tc>
        <w:tc>
          <w:tcPr>
            <w:tcW w:type="dxa" w:w="2750"/>
            <w:tcBorders>
              <w:top w:val="single" w:color="AAAAAA" w:sz="1"/>
              <w:left w:val="single" w:color="AAAAAA" w:sz="1"/>
              <w:bottom w:val="single" w:color="AAAAAA" w:sz="1"/>
              <w:right w:val="single" w:color="AAAAAA" w:sz="1"/>
            </w:tcBorders>
            <w:shd w:fill="EDF2F7" w:val="clear"/>
            <w:tcMar>
              <w:top w:type="dxa" w:w="80"/>
              <w:left w:type="dxa" w:w="130"/>
              <w:bottom w:type="dxa" w:w="80"/>
              <w:right w:type="dxa" w:w="130"/>
            </w:tcMar>
          </w:tcPr>
          <w:p>
            <w:pPr>
              <w:spacing w:after="0" w:line="240"/>
            </w:pPr>
            <w:r>
              <w:rPr>
                <w:rFonts w:ascii="Times New Roman" w:cs="Times New Roman" w:eastAsia="Times New Roman" w:hAnsi="Times New Roman"/>
                <w:sz w:val="24"/>
                <w:szCs w:val="24"/>
              </w:rPr>
              <w:t xml:space="preserve">ca 30 000</w:t>
            </w:r>
          </w:p>
        </w:tc>
        <w:tc>
          <w:tcPr>
            <w:tcW w:type="dxa" w:w="2750"/>
            <w:tcBorders>
              <w:top w:val="single" w:color="AAAAAA" w:sz="1"/>
              <w:left w:val="single" w:color="AAAAAA" w:sz="1"/>
              <w:bottom w:val="single" w:color="AAAAAA" w:sz="1"/>
              <w:right w:val="single" w:color="AAAAAA" w:sz="1"/>
            </w:tcBorders>
            <w:shd w:fill="EDF2F7" w:val="clear"/>
            <w:tcMar>
              <w:top w:type="dxa" w:w="80"/>
              <w:left w:type="dxa" w:w="130"/>
              <w:bottom w:type="dxa" w:w="80"/>
              <w:right w:type="dxa" w:w="130"/>
            </w:tcMar>
          </w:tcPr>
          <w:p>
            <w:pPr>
              <w:spacing w:after="0" w:line="240"/>
            </w:pPr>
            <w:r>
              <w:rPr>
                <w:rFonts w:ascii="Times New Roman" w:cs="Times New Roman" w:eastAsia="Times New Roman" w:hAnsi="Times New Roman"/>
                <w:sz w:val="24"/>
                <w:szCs w:val="24"/>
              </w:rPr>
              <w:t xml:space="preserve">50 000–70 000</w:t>
            </w:r>
          </w:p>
        </w:tc>
      </w:tr>
      <w:tr>
        <w:tc>
          <w:tcPr>
            <w:tcW w:type="dxa" w:w="3570"/>
            <w:tcBorders>
              <w:top w:val="single" w:color="AAAAAA" w:sz="1"/>
              <w:left w:val="single" w:color="AAAAAA" w:sz="1"/>
              <w:bottom w:val="single" w:color="AAAAAA" w:sz="1"/>
              <w:right w:val="single" w:color="AAAAAA" w:sz="1"/>
            </w:tcBorders>
            <w:tcMar>
              <w:top w:type="dxa" w:w="80"/>
              <w:left w:type="dxa" w:w="130"/>
              <w:bottom w:type="dxa" w:w="80"/>
              <w:right w:type="dxa" w:w="130"/>
            </w:tcMar>
          </w:tcPr>
          <w:p>
            <w:pPr>
              <w:spacing w:after="0" w:line="240"/>
            </w:pPr>
            <w:r>
              <w:rPr>
                <w:rFonts w:ascii="Times New Roman" w:cs="Times New Roman" w:eastAsia="Times New Roman" w:hAnsi="Times New Roman"/>
                <w:b/>
                <w:bCs/>
                <w:sz w:val="24"/>
                <w:szCs w:val="24"/>
              </w:rPr>
              <w:t xml:space="preserve">Narkotikadödsfall / 100 000 inv.</w:t>
            </w:r>
          </w:p>
        </w:tc>
        <w:tc>
          <w:tcPr>
            <w:tcW w:type="dxa" w:w="2750"/>
            <w:tcBorders>
              <w:top w:val="single" w:color="AAAAAA" w:sz="1"/>
              <w:left w:val="single" w:color="AAAAAA" w:sz="1"/>
              <w:bottom w:val="single" w:color="AAAAAA" w:sz="1"/>
              <w:right w:val="single" w:color="AAAAAA" w:sz="1"/>
            </w:tcBorders>
            <w:tcMar>
              <w:top w:type="dxa" w:w="80"/>
              <w:left w:type="dxa" w:w="130"/>
              <w:bottom w:type="dxa" w:w="80"/>
              <w:right w:type="dxa" w:w="130"/>
            </w:tcMar>
          </w:tcPr>
          <w:p>
            <w:pPr>
              <w:spacing w:after="0" w:line="240"/>
            </w:pPr>
            <w:r>
              <w:rPr>
                <w:rFonts w:ascii="Times New Roman" w:cs="Times New Roman" w:eastAsia="Times New Roman" w:hAnsi="Times New Roman"/>
                <w:sz w:val="24"/>
                <w:szCs w:val="24"/>
              </w:rPr>
              <w:t xml:space="preserve">9,2 (2022)</w:t>
            </w:r>
          </w:p>
        </w:tc>
        <w:tc>
          <w:tcPr>
            <w:tcW w:type="dxa" w:w="2750"/>
            <w:tcBorders>
              <w:top w:val="single" w:color="AAAAAA" w:sz="1"/>
              <w:left w:val="single" w:color="AAAAAA" w:sz="1"/>
              <w:bottom w:val="single" w:color="AAAAAA" w:sz="1"/>
              <w:right w:val="single" w:color="AAAAAA" w:sz="1"/>
            </w:tcBorders>
            <w:tcMar>
              <w:top w:type="dxa" w:w="80"/>
              <w:left w:type="dxa" w:w="130"/>
              <w:bottom w:type="dxa" w:w="80"/>
              <w:right w:type="dxa" w:w="130"/>
            </w:tcMar>
          </w:tcPr>
          <w:p>
            <w:pPr>
              <w:spacing w:after="0" w:line="240"/>
            </w:pPr>
            <w:r>
              <w:rPr>
                <w:rFonts w:ascii="Times New Roman" w:cs="Times New Roman" w:eastAsia="Times New Roman" w:hAnsi="Times New Roman"/>
                <w:sz w:val="24"/>
                <w:szCs w:val="24"/>
              </w:rPr>
              <w:t xml:space="preserve">5,1 (2022)</w:t>
            </w:r>
          </w:p>
        </w:tc>
      </w:tr>
      <w:tr>
        <w:tc>
          <w:tcPr>
            <w:tcW w:type="dxa" w:w="3570"/>
            <w:tcBorders>
              <w:top w:val="single" w:color="AAAAAA" w:sz="1"/>
              <w:left w:val="single" w:color="AAAAAA" w:sz="1"/>
              <w:bottom w:val="single" w:color="AAAAAA" w:sz="1"/>
              <w:right w:val="single" w:color="AAAAAA" w:sz="1"/>
            </w:tcBorders>
            <w:shd w:fill="EDF2F7" w:val="clear"/>
            <w:tcMar>
              <w:top w:type="dxa" w:w="80"/>
              <w:left w:type="dxa" w:w="130"/>
              <w:bottom w:type="dxa" w:w="80"/>
              <w:right w:type="dxa" w:w="130"/>
            </w:tcMar>
          </w:tcPr>
          <w:p>
            <w:pPr>
              <w:spacing w:after="0" w:line="240"/>
            </w:pPr>
            <w:r>
              <w:rPr>
                <w:rFonts w:ascii="Times New Roman" w:cs="Times New Roman" w:eastAsia="Times New Roman" w:hAnsi="Times New Roman"/>
                <w:b/>
                <w:bCs/>
                <w:sz w:val="24"/>
                <w:szCs w:val="24"/>
              </w:rPr>
              <w:t xml:space="preserve">Mest drabbade städer</w:t>
            </w:r>
          </w:p>
        </w:tc>
        <w:tc>
          <w:tcPr>
            <w:tcW w:type="dxa" w:w="2750"/>
            <w:tcBorders>
              <w:top w:val="single" w:color="AAAAAA" w:sz="1"/>
              <w:left w:val="single" w:color="AAAAAA" w:sz="1"/>
              <w:bottom w:val="single" w:color="AAAAAA" w:sz="1"/>
              <w:right w:val="single" w:color="AAAAAA" w:sz="1"/>
            </w:tcBorders>
            <w:shd w:fill="EDF2F7" w:val="clear"/>
            <w:tcMar>
              <w:top w:type="dxa" w:w="80"/>
              <w:left w:type="dxa" w:w="130"/>
              <w:bottom w:type="dxa" w:w="80"/>
              <w:right w:type="dxa" w:w="130"/>
            </w:tcMar>
          </w:tcPr>
          <w:p>
            <w:pPr>
              <w:spacing w:after="0" w:line="240"/>
            </w:pPr>
            <w:r>
              <w:rPr>
                <w:rFonts w:ascii="Times New Roman" w:cs="Times New Roman" w:eastAsia="Times New Roman" w:hAnsi="Times New Roman"/>
                <w:sz w:val="24"/>
                <w:szCs w:val="24"/>
              </w:rPr>
              <w:t xml:space="preserve">Stockholm, Göteborg, Malmö</w:t>
            </w:r>
          </w:p>
        </w:tc>
        <w:tc>
          <w:tcPr>
            <w:tcW w:type="dxa" w:w="2750"/>
            <w:tcBorders>
              <w:top w:val="single" w:color="AAAAAA" w:sz="1"/>
              <w:left w:val="single" w:color="AAAAAA" w:sz="1"/>
              <w:bottom w:val="single" w:color="AAAAAA" w:sz="1"/>
              <w:right w:val="single" w:color="AAAAAA" w:sz="1"/>
            </w:tcBorders>
            <w:shd w:fill="EDF2F7" w:val="clear"/>
            <w:tcMar>
              <w:top w:type="dxa" w:w="80"/>
              <w:left w:type="dxa" w:w="130"/>
              <w:bottom w:type="dxa" w:w="80"/>
              <w:right w:type="dxa" w:w="130"/>
            </w:tcMar>
          </w:tcPr>
          <w:p>
            <w:pPr>
              <w:spacing w:after="0" w:line="240"/>
            </w:pPr>
            <w:r>
              <w:rPr>
                <w:rFonts w:ascii="Times New Roman" w:cs="Times New Roman" w:eastAsia="Times New Roman" w:hAnsi="Times New Roman"/>
                <w:sz w:val="24"/>
                <w:szCs w:val="24"/>
              </w:rPr>
              <w:t xml:space="preserve">London, Birmingham, Manchester</w:t>
            </w:r>
          </w:p>
        </w:tc>
      </w:tr>
      <w:tr>
        <w:tc>
          <w:tcPr>
            <w:tcW w:type="dxa" w:w="3570"/>
            <w:tcBorders>
              <w:top w:val="single" w:color="AAAAAA" w:sz="1"/>
              <w:left w:val="single" w:color="AAAAAA" w:sz="1"/>
              <w:bottom w:val="single" w:color="AAAAAA" w:sz="1"/>
              <w:right w:val="single" w:color="AAAAAA" w:sz="1"/>
            </w:tcBorders>
            <w:tcMar>
              <w:top w:type="dxa" w:w="80"/>
              <w:left w:type="dxa" w:w="130"/>
              <w:bottom w:type="dxa" w:w="80"/>
              <w:right w:type="dxa" w:w="130"/>
            </w:tcMar>
          </w:tcPr>
          <w:p>
            <w:pPr>
              <w:spacing w:after="0" w:line="240"/>
            </w:pPr>
            <w:r>
              <w:rPr>
                <w:rFonts w:ascii="Times New Roman" w:cs="Times New Roman" w:eastAsia="Times New Roman" w:hAnsi="Times New Roman"/>
                <w:b/>
                <w:bCs/>
                <w:sz w:val="24"/>
                <w:szCs w:val="24"/>
              </w:rPr>
              <w:t xml:space="preserve">Gängrelaterade brott (uppskattad andel)</w:t>
            </w:r>
          </w:p>
        </w:tc>
        <w:tc>
          <w:tcPr>
            <w:tcW w:type="dxa" w:w="2750"/>
            <w:tcBorders>
              <w:top w:val="single" w:color="AAAAAA" w:sz="1"/>
              <w:left w:val="single" w:color="AAAAAA" w:sz="1"/>
              <w:bottom w:val="single" w:color="AAAAAA" w:sz="1"/>
              <w:right w:val="single" w:color="AAAAAA" w:sz="1"/>
            </w:tcBorders>
            <w:tcMar>
              <w:top w:type="dxa" w:w="80"/>
              <w:left w:type="dxa" w:w="130"/>
              <w:bottom w:type="dxa" w:w="80"/>
              <w:right w:type="dxa" w:w="130"/>
            </w:tcMar>
          </w:tcPr>
          <w:p>
            <w:pPr>
              <w:spacing w:after="0" w:line="240"/>
            </w:pPr>
            <w:r>
              <w:rPr>
                <w:rFonts w:ascii="Times New Roman" w:cs="Times New Roman" w:eastAsia="Times New Roman" w:hAnsi="Times New Roman"/>
                <w:sz w:val="24"/>
                <w:szCs w:val="24"/>
              </w:rPr>
              <w:t xml:space="preserve">ca 20 %</w:t>
            </w:r>
          </w:p>
        </w:tc>
        <w:tc>
          <w:tcPr>
            <w:tcW w:type="dxa" w:w="2750"/>
            <w:tcBorders>
              <w:top w:val="single" w:color="AAAAAA" w:sz="1"/>
              <w:left w:val="single" w:color="AAAAAA" w:sz="1"/>
              <w:bottom w:val="single" w:color="AAAAAA" w:sz="1"/>
              <w:right w:val="single" w:color="AAAAAA" w:sz="1"/>
            </w:tcBorders>
            <w:tcMar>
              <w:top w:type="dxa" w:w="80"/>
              <w:left w:type="dxa" w:w="130"/>
              <w:bottom w:type="dxa" w:w="80"/>
              <w:right w:type="dxa" w:w="130"/>
            </w:tcMar>
          </w:tcPr>
          <w:p>
            <w:pPr>
              <w:spacing w:after="0" w:line="240"/>
            </w:pPr>
            <w:r>
              <w:rPr>
                <w:rFonts w:ascii="Times New Roman" w:cs="Times New Roman" w:eastAsia="Times New Roman" w:hAnsi="Times New Roman"/>
                <w:sz w:val="24"/>
                <w:szCs w:val="24"/>
              </w:rPr>
              <w:t xml:space="preserve">ca 15 %</w:t>
            </w:r>
          </w:p>
        </w:tc>
      </w:tr>
    </w:tbl>
    <w:p>
      <w:pPr>
        <w:spacing w:after="280" w:before="100"/>
        <w:jc w:val="center"/>
      </w:pPr>
      <w:r>
        <w:rPr>
          <w:rFonts w:ascii="Times New Roman" w:cs="Times New Roman" w:eastAsia="Times New Roman" w:hAnsi="Times New Roman"/>
          <w:i/>
          <w:iCs/>
          <w:color w:val="777777"/>
          <w:sz w:val="18"/>
          <w:szCs w:val="18"/>
        </w:rPr>
        <w:t xml:space="preserve">Källor: BRÅ (2023); Home Office (2023); EMCDDA (2023). Siffror avser senast tillgängliga helårsdata.</w:t>
      </w:r>
    </w:p>
    <w:p>
      <w:pPr>
        <w:spacing w:after="200" w:line="276"/>
        <w:jc w:val="both"/>
      </w:pPr>
      <w:r>
        <w:rPr>
          <w:rFonts w:ascii="Times New Roman" w:cs="Times New Roman" w:eastAsia="Times New Roman" w:hAnsi="Times New Roman"/>
          <w:sz w:val="24"/>
          <w:szCs w:val="24"/>
        </w:rPr>
        <w:t xml:space="preserve">Statistiken i Tabell 1 belyser en paradox: trots att Sverige är ett avsevärt mindre land än Storbritannien uppvisar det ett proportionellt sett mycket högre antal dödliga skjutningar. Narkotikadödligheten per 100 000 invånare är också markant högre i Sverige, vilket delvis förklaras av den svenska narkotikapolitikens historiska utformning och en mer restriktiv syn på substitutionsbehandling jämfört med brittisk praxis.</w:t>
      </w:r>
      <w:hyperlink w:history="1" w:anchor="note_11">
        <w:r>
          <w:rPr>
            <w:rFonts w:ascii="Times New Roman" w:cs="Times New Roman" w:eastAsia="Times New Roman" w:hAnsi="Times New Roman"/>
            <w:color w:val="1155CC"/>
            <w:sz w:val="20"/>
            <w:szCs w:val="20"/>
            <w:vertAlign w:val="superscript"/>
          </w:rPr>
          <w:t xml:space="preserve">11</w:t>
        </w:r>
      </w:hyperlink>
    </w:p>
    <w:p>
      <w:pPr>
        <w:pStyle w:val="Heading1"/>
        <w:spacing w:after="240" w:before="480"/>
      </w:pPr>
      <w:r>
        <w:t xml:space="preserve">4. Lagstiftning och polisiära åtgärder</w:t>
      </w:r>
    </w:p>
    <w:p>
      <w:pPr>
        <w:pStyle w:val="Heading2"/>
        <w:spacing w:after="160" w:before="320"/>
      </w:pPr>
      <w:r>
        <w:t xml:space="preserve">4.1 Sverige</w:t>
      </w:r>
    </w:p>
    <w:p>
      <w:pPr>
        <w:spacing w:after="200" w:line="276"/>
        <w:jc w:val="both"/>
      </w:pPr>
      <w:r>
        <w:rPr>
          <w:rFonts w:ascii="Times New Roman" w:cs="Times New Roman" w:eastAsia="Times New Roman" w:hAnsi="Times New Roman"/>
          <w:sz w:val="24"/>
          <w:szCs w:val="24"/>
        </w:rPr>
        <w:t xml:space="preserve">Sverige har sedan 2017 genomfört ett antal lagstiftningsreformer för att skärpa kampen mot gängkriminalitet. Straffskärpningar för vapenbrott, sprängmedelsbrott och grovt organiserat häleri har implementerats i flera steg. Polismyndigheten genomgick en genomgripande omorganisation 2015 och har sedan dess gradvis stärkt sin kapacitet att bekämpa organiserad brottslighet i nationella operativa avdelningen (NOA).</w:t>
      </w:r>
      <w:hyperlink w:history="1" w:anchor="note_9">
        <w:r>
          <w:rPr>
            <w:rFonts w:ascii="Times New Roman" w:cs="Times New Roman" w:eastAsia="Times New Roman" w:hAnsi="Times New Roman"/>
            <w:color w:val="1155CC"/>
            <w:sz w:val="20"/>
            <w:szCs w:val="20"/>
            <w:vertAlign w:val="superscript"/>
          </w:rPr>
          <w:t xml:space="preserve">9</w:t>
        </w:r>
      </w:hyperlink>
    </w:p>
    <w:p>
      <w:pPr>
        <w:spacing w:after="200" w:line="276"/>
        <w:jc w:val="both"/>
      </w:pPr>
      <w:r>
        <w:rPr>
          <w:rFonts w:ascii="Times New Roman" w:cs="Times New Roman" w:eastAsia="Times New Roman" w:hAnsi="Times New Roman"/>
          <w:sz w:val="24"/>
          <w:szCs w:val="24"/>
        </w:rPr>
        <w:t xml:space="preserve">Rättsväsendet har också tillämpat utvidgade möjligheter till hemlig avlyssning, hemlig dataavläsning och kameraövervakning i utredningar rörande grov organiserad brottslighet. Tillgångsinriktad brottsbekämpning – det vill säga beslagtagning av kriminellt förvärvad egendom – har fått ökad prioritet.</w:t>
      </w:r>
      <w:hyperlink w:history="1" w:anchor="note_13">
        <w:r>
          <w:rPr>
            <w:rFonts w:ascii="Times New Roman" w:cs="Times New Roman" w:eastAsia="Times New Roman" w:hAnsi="Times New Roman"/>
            <w:color w:val="1155CC"/>
            <w:sz w:val="20"/>
            <w:szCs w:val="20"/>
            <w:vertAlign w:val="superscript"/>
          </w:rPr>
          <w:t xml:space="preserve">13</w:t>
        </w:r>
      </w:hyperlink>
    </w:p>
    <w:p>
      <w:pPr>
        <w:spacing w:after="200" w:line="276"/>
        <w:jc w:val="both"/>
      </w:pPr>
      <w:r>
        <w:rPr>
          <w:rFonts w:ascii="Times New Roman" w:cs="Times New Roman" w:eastAsia="Times New Roman" w:hAnsi="Times New Roman"/>
          <w:sz w:val="24"/>
          <w:szCs w:val="24"/>
        </w:rPr>
        <w:t xml:space="preserve">Polismyndigheten implementerade strategin Effektiv bekämpning av organiserad brottslighet, som bygger på nätverkskartläggning, tillgångsinriktad brottsutredning och störningsoperationer riktade mot nyckelpersoner i kriminella nätverk. Dessa insatser har rönt vissa framgångar men kritiserats för att inte adressera de strukturella orsakerna till rekryteringen.</w:t>
      </w:r>
      <w:hyperlink w:history="1" w:anchor="note_5">
        <w:r>
          <w:rPr>
            <w:rFonts w:ascii="Times New Roman" w:cs="Times New Roman" w:eastAsia="Times New Roman" w:hAnsi="Times New Roman"/>
            <w:color w:val="1155CC"/>
            <w:sz w:val="20"/>
            <w:szCs w:val="20"/>
            <w:vertAlign w:val="superscript"/>
          </w:rPr>
          <w:t xml:space="preserve">5</w:t>
        </w:r>
      </w:hyperlink>
    </w:p>
    <w:p>
      <w:pPr>
        <w:pStyle w:val="Heading2"/>
        <w:spacing w:after="160" w:before="320"/>
      </w:pPr>
      <w:r>
        <w:t xml:space="preserve">4.2 Storbritannien</w:t>
      </w:r>
    </w:p>
    <w:p>
      <w:pPr>
        <w:spacing w:after="200" w:line="276"/>
        <w:jc w:val="both"/>
      </w:pPr>
      <w:r>
        <w:rPr>
          <w:rFonts w:ascii="Times New Roman" w:cs="Times New Roman" w:eastAsia="Times New Roman" w:hAnsi="Times New Roman"/>
          <w:sz w:val="24"/>
          <w:szCs w:val="24"/>
        </w:rPr>
        <w:t xml:space="preserve">Storbritannien har en längre tradition av specialiserade insatser mot organiserad brottslighet. National Crime Agency (NCA) koordinerar insatser mot allvarlig och organiserad brottslighet på nationell nivå, medan Metropolitan Police i London har egna specialenheter – däribland Trident – riktade mot gängrelaterat vapenvåld.</w:t>
      </w:r>
      <w:hyperlink w:history="1" w:anchor="note_2">
        <w:r>
          <w:rPr>
            <w:rFonts w:ascii="Times New Roman" w:cs="Times New Roman" w:eastAsia="Times New Roman" w:hAnsi="Times New Roman"/>
            <w:color w:val="1155CC"/>
            <w:sz w:val="20"/>
            <w:szCs w:val="20"/>
            <w:vertAlign w:val="superscript"/>
          </w:rPr>
          <w:t xml:space="preserve">2</w:t>
        </w:r>
      </w:hyperlink>
    </w:p>
    <w:p>
      <w:pPr>
        <w:spacing w:after="200" w:line="276"/>
        <w:jc w:val="both"/>
      </w:pPr>
      <w:r>
        <w:rPr>
          <w:rFonts w:ascii="Times New Roman" w:cs="Times New Roman" w:eastAsia="Times New Roman" w:hAnsi="Times New Roman"/>
          <w:sz w:val="24"/>
          <w:szCs w:val="24"/>
        </w:rPr>
        <w:t xml:space="preserve">Injunctions mot gängrelaterat beteende (gang injunctions) kan utfärdas av domstol och begränsa enskilda personers rörelsefrihet och rätt att umgås med specificerade individer – ett instrument som saknar direkt motsvarighet i svensk rätt. Dessa har dock kritiserats för att drabba etniska minoritetsgrupper oproportionerligt hårt och för att stigmatisera hela stadsdelar.</w:t>
      </w:r>
      <w:hyperlink w:history="1" w:anchor="note_14">
        <w:r>
          <w:rPr>
            <w:rFonts w:ascii="Times New Roman" w:cs="Times New Roman" w:eastAsia="Times New Roman" w:hAnsi="Times New Roman"/>
            <w:color w:val="1155CC"/>
            <w:sz w:val="20"/>
            <w:szCs w:val="20"/>
            <w:vertAlign w:val="superscript"/>
          </w:rPr>
          <w:t xml:space="preserve">14</w:t>
        </w:r>
      </w:hyperlink>
    </w:p>
    <w:p>
      <w:pPr>
        <w:pStyle w:val="Heading1"/>
        <w:spacing w:after="240" w:before="480"/>
      </w:pPr>
      <w:r>
        <w:t xml:space="preserve">5. Sociala insatser och förebyggande arbete</w:t>
      </w:r>
    </w:p>
    <w:p>
      <w:pPr>
        <w:spacing w:after="200" w:line="276"/>
        <w:jc w:val="both"/>
      </w:pPr>
      <w:r>
        <w:rPr>
          <w:rFonts w:ascii="Times New Roman" w:cs="Times New Roman" w:eastAsia="Times New Roman" w:hAnsi="Times New Roman"/>
          <w:sz w:val="24"/>
          <w:szCs w:val="24"/>
        </w:rPr>
        <w:t xml:space="preserve">Forskning visar entydigt att förebyggande sociala insatser är mer kostnadseffektiva på lång sikt än enbart repressiva åtgärder. I Sverige har modeller som Preventionskedjan, Mentorer i Olycksfall (MIO) och Sociala insatsgrupper (SIG) implementerats med varierande resultat.</w:t>
      </w:r>
      <w:hyperlink w:history="1" w:anchor="note_8">
        <w:r>
          <w:rPr>
            <w:rFonts w:ascii="Times New Roman" w:cs="Times New Roman" w:eastAsia="Times New Roman" w:hAnsi="Times New Roman"/>
            <w:color w:val="1155CC"/>
            <w:sz w:val="20"/>
            <w:szCs w:val="20"/>
            <w:vertAlign w:val="superscript"/>
          </w:rPr>
          <w:t xml:space="preserve">8</w:t>
        </w:r>
      </w:hyperlink>
    </w:p>
    <w:p>
      <w:pPr>
        <w:spacing w:after="200" w:line="276"/>
        <w:jc w:val="both"/>
      </w:pPr>
      <w:r>
        <w:rPr>
          <w:rFonts w:ascii="Times New Roman" w:cs="Times New Roman" w:eastAsia="Times New Roman" w:hAnsi="Times New Roman"/>
          <w:sz w:val="24"/>
          <w:szCs w:val="24"/>
        </w:rPr>
        <w:t xml:space="preserve">Enligt socialtjänstlagen har svenska kommuner ett grundläggande ansvar för förebyggande arbete med unga i riskzonen. Samverkan mellan polis, socialtjänst, skola och frivilligorganisationer i lokala brottsförebyggande råd är en etablerad modell. Utvärderingar visar emellertid blandade resultat, delvis beroende på brister i samordning och uppföljning.</w:t>
      </w:r>
      <w:hyperlink w:history="1" w:anchor="note_11">
        <w:r>
          <w:rPr>
            <w:rFonts w:ascii="Times New Roman" w:cs="Times New Roman" w:eastAsia="Times New Roman" w:hAnsi="Times New Roman"/>
            <w:color w:val="1155CC"/>
            <w:sz w:val="20"/>
            <w:szCs w:val="20"/>
            <w:vertAlign w:val="superscript"/>
          </w:rPr>
          <w:t xml:space="preserve">11</w:t>
        </w:r>
      </w:hyperlink>
    </w:p>
    <w:p>
      <w:pPr>
        <w:spacing w:after="200" w:line="276"/>
        <w:jc w:val="both"/>
      </w:pPr>
      <w:r>
        <w:rPr>
          <w:rFonts w:ascii="Times New Roman" w:cs="Times New Roman" w:eastAsia="Times New Roman" w:hAnsi="Times New Roman"/>
          <w:sz w:val="24"/>
          <w:szCs w:val="24"/>
        </w:rPr>
        <w:t xml:space="preserve">I Storbritannien har Violence Reduction Units (VRU) etablerats i ett antal städer, inspirerade av den så kallade Glasgow-modellen som kombinerar akutsjukvård, socialt arbete och brottsbekämpning i en sammanhållen folkhälsoansats. Forskning från Glasgow visar att denna holistiska modell bidragit till en signifikant minskning av ungdomsvåldet under en tioårsperiod.</w:t>
      </w:r>
      <w:hyperlink w:history="1" w:anchor="note_2">
        <w:r>
          <w:rPr>
            <w:rFonts w:ascii="Times New Roman" w:cs="Times New Roman" w:eastAsia="Times New Roman" w:hAnsi="Times New Roman"/>
            <w:color w:val="1155CC"/>
            <w:sz w:val="20"/>
            <w:szCs w:val="20"/>
            <w:vertAlign w:val="superscript"/>
          </w:rPr>
          <w:t xml:space="preserve">2</w:t>
        </w:r>
      </w:hyperlink>
    </w:p>
    <w:p>
      <w:pPr>
        <w:spacing w:after="200" w:line="276"/>
        <w:jc w:val="both"/>
      </w:pPr>
      <w:r>
        <w:rPr>
          <w:rFonts w:ascii="Times New Roman" w:cs="Times New Roman" w:eastAsia="Times New Roman" w:hAnsi="Times New Roman"/>
          <w:sz w:val="24"/>
          <w:szCs w:val="24"/>
        </w:rPr>
        <w:t xml:space="preserve">Mentorprogram, utbildningsinsatser och arbetsmarknadsprogram för unga i riskzonen utgör centrala delar i förebyggandearbetet i båda länderna. Effektutvärderingar visar positiva resultat när sådana program kombineras med strukturella insatser mot fattigdom, bostadssegregation och diskriminering på arbetsmarknaden.</w:t>
      </w:r>
      <w:hyperlink w:history="1" w:anchor="note_15">
        <w:r>
          <w:rPr>
            <w:rFonts w:ascii="Times New Roman" w:cs="Times New Roman" w:eastAsia="Times New Roman" w:hAnsi="Times New Roman"/>
            <w:color w:val="1155CC"/>
            <w:sz w:val="20"/>
            <w:szCs w:val="20"/>
            <w:vertAlign w:val="superscript"/>
          </w:rPr>
          <w:t xml:space="preserve">15</w:t>
        </w:r>
      </w:hyperlink>
    </w:p>
    <w:p>
      <w:pPr>
        <w:pStyle w:val="Heading1"/>
        <w:spacing w:after="240" w:before="480"/>
      </w:pPr>
      <w:r>
        <w:t xml:space="preserve">6. Slutsatser</w:t>
      </w:r>
    </w:p>
    <w:p>
      <w:pPr>
        <w:spacing w:after="200" w:line="276"/>
        <w:jc w:val="both"/>
      </w:pPr>
      <w:r>
        <w:rPr>
          <w:rFonts w:ascii="Times New Roman" w:cs="Times New Roman" w:eastAsia="Times New Roman" w:hAnsi="Times New Roman"/>
          <w:sz w:val="24"/>
          <w:szCs w:val="24"/>
        </w:rPr>
        <w:t xml:space="preserve">Jämförelsen mellan gängkriminaliteten i Sverige och Storbritannien avslöjar ett paradoxalt mönster: trots stora strukturella skillnader i befolkningsstorlek, rättssystem och historisk bakgrund är de grundläggande drivkrafterna remarkabelt lika. Socioekonomisk marginalisering, bostadssegregation och begränsade legala möjligheter skapar i båda länderna grogrunden för kriminell rekrytering och gängrelaterat våld.</w:t>
      </w:r>
    </w:p>
    <w:p>
      <w:pPr>
        <w:spacing w:after="200" w:line="276"/>
        <w:jc w:val="both"/>
      </w:pPr>
      <w:r>
        <w:rPr>
          <w:rFonts w:ascii="Times New Roman" w:cs="Times New Roman" w:eastAsia="Times New Roman" w:hAnsi="Times New Roman"/>
          <w:sz w:val="24"/>
          <w:szCs w:val="24"/>
        </w:rPr>
        <w:t xml:space="preserve">Sverige utmärker sig negativt vad gäller skjutvapenvåld och sprängattacker i europeisk jämförelse, medan Storbritannien kämpar med ett mer utbrett knivsåld och ett komplext County Lines-fenomen som spridit gängkriminaliteten till landsbygden. Narkotikamarknaderna i båda länderna drivs av liknande efterfrågemönster, men distributionsstrukturerna skiljer sig väsentligt åt.</w:t>
      </w:r>
      <w:hyperlink w:history="1" w:anchor="note_7">
        <w:r>
          <w:rPr>
            <w:rFonts w:ascii="Times New Roman" w:cs="Times New Roman" w:eastAsia="Times New Roman" w:hAnsi="Times New Roman"/>
            <w:color w:val="1155CC"/>
            <w:sz w:val="20"/>
            <w:szCs w:val="20"/>
            <w:vertAlign w:val="superscript"/>
          </w:rPr>
          <w:t xml:space="preserve">7</w:t>
        </w:r>
      </w:hyperlink>
    </w:p>
    <w:p>
      <w:pPr>
        <w:spacing w:after="200" w:line="276"/>
        <w:jc w:val="both"/>
      </w:pPr>
      <w:r>
        <w:rPr>
          <w:rFonts w:ascii="Times New Roman" w:cs="Times New Roman" w:eastAsia="Times New Roman" w:hAnsi="Times New Roman"/>
          <w:sz w:val="24"/>
          <w:szCs w:val="24"/>
        </w:rPr>
        <w:t xml:space="preserve">Lagstiftning och polisiära insatser är nödvändiga men otillräckliga om de inte kompletteras med strukturella socialpolitiska reformer. Erfarenheterna från Glasgow och från svenska kommuner som satsat på tidiga preventiva insatser pekar på att en folkhälsobaserad ansats ger bäst effekt på lång sikt, förutsatt tillräcklig finansiering och tvärsektoriell samordning.</w:t>
      </w:r>
      <w:hyperlink w:history="1" w:anchor="note_8">
        <w:r>
          <w:rPr>
            <w:rFonts w:ascii="Times New Roman" w:cs="Times New Roman" w:eastAsia="Times New Roman" w:hAnsi="Times New Roman"/>
            <w:color w:val="1155CC"/>
            <w:sz w:val="20"/>
            <w:szCs w:val="20"/>
            <w:vertAlign w:val="superscript"/>
          </w:rPr>
          <w:t xml:space="preserve">8</w:t>
        </w:r>
      </w:hyperlink>
    </w:p>
    <w:p>
      <w:pPr>
        <w:spacing w:after="200" w:line="276"/>
        <w:jc w:val="both"/>
      </w:pPr>
      <w:r>
        <w:rPr>
          <w:rFonts w:ascii="Times New Roman" w:cs="Times New Roman" w:eastAsia="Times New Roman" w:hAnsi="Times New Roman"/>
          <w:sz w:val="24"/>
          <w:szCs w:val="24"/>
        </w:rPr>
        <w:t xml:space="preserve">Fortsatt forskning bör fokusera på longitudinella studier av preventionsprogram, jämförande analys av kriminaliseringspolitikens effekter på rekrytering och avhoppning, samt fördjupad förståelse av de mekanismer genom vilka unga dras in i och lämnar kriminella nätverk.</w:t>
      </w:r>
      <w:hyperlink w:history="1" w:anchor="note_4">
        <w:r>
          <w:rPr>
            <w:rFonts w:ascii="Times New Roman" w:cs="Times New Roman" w:eastAsia="Times New Roman" w:hAnsi="Times New Roman"/>
            <w:color w:val="1155CC"/>
            <w:sz w:val="20"/>
            <w:szCs w:val="20"/>
            <w:vertAlign w:val="superscript"/>
          </w:rPr>
          <w:t xml:space="preserve">4</w:t>
        </w:r>
      </w:hyperlink>
    </w:p>
    <w:p>
      <w:pPr>
        <w:pStyle w:val="Heading1"/>
        <w:spacing w:after="240" w:before="480"/>
      </w:pPr>
      <w:r>
        <w:t xml:space="preserve">7. Källförteckning</w:t>
      </w:r>
    </w:p>
    <w:p>
      <w:pPr>
        <w:pStyle w:val="Heading2"/>
        <w:spacing w:after="160" w:before="320"/>
      </w:pPr>
      <w:r>
        <w:t xml:space="preserve">Offentliga rapporter och myndighetspublikationer</w:t>
      </w:r>
    </w:p>
    <w:p>
      <w:pPr>
        <w:spacing w:after="200" w:line="276"/>
      </w:pPr>
      <w:r>
        <w:rPr>
          <w:rFonts w:ascii="Times New Roman" w:cs="Times New Roman" w:eastAsia="Times New Roman" w:hAnsi="Times New Roman"/>
          <w:b/>
          <w:bCs/>
          <w:sz w:val="24"/>
          <w:szCs w:val="24"/>
        </w:rPr>
        <w:t xml:space="preserve">Brottsförebyggande rådet (BRÅ)</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Kriminella nätverk och grupperingar: Polisers bild av maktstrukturer och marknader</w:t>
      </w:r>
      <w:r>
        <w:rPr>
          <w:rFonts w:ascii="Times New Roman" w:cs="Times New Roman" w:eastAsia="Times New Roman" w:hAnsi="Times New Roman"/>
          <w:sz w:val="24"/>
          <w:szCs w:val="24"/>
        </w:rPr>
        <w:t xml:space="preserve">. Stockholm: BRÅ, 2016.</w:t>
      </w:r>
    </w:p>
    <w:p>
      <w:pPr>
        <w:spacing w:after="200" w:line="276"/>
      </w:pPr>
      <w:r>
        <w:rPr>
          <w:rFonts w:ascii="Times New Roman" w:cs="Times New Roman" w:eastAsia="Times New Roman" w:hAnsi="Times New Roman"/>
          <w:b/>
          <w:bCs/>
          <w:sz w:val="24"/>
          <w:szCs w:val="24"/>
        </w:rPr>
        <w:t xml:space="preserve">Brottsförebyggande rådet (BRÅ)</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Polisens förmåga att bekämpa den grova organiserade brottsligheten</w:t>
      </w:r>
      <w:r>
        <w:rPr>
          <w:rFonts w:ascii="Times New Roman" w:cs="Times New Roman" w:eastAsia="Times New Roman" w:hAnsi="Times New Roman"/>
          <w:sz w:val="24"/>
          <w:szCs w:val="24"/>
        </w:rPr>
        <w:t xml:space="preserve">. Stockholm: BRÅ, 2014.</w:t>
      </w:r>
    </w:p>
    <w:p>
      <w:pPr>
        <w:spacing w:after="200" w:line="276"/>
      </w:pPr>
      <w:r>
        <w:rPr>
          <w:rFonts w:ascii="Times New Roman" w:cs="Times New Roman" w:eastAsia="Times New Roman" w:hAnsi="Times New Roman"/>
          <w:b/>
          <w:bCs/>
          <w:sz w:val="24"/>
          <w:szCs w:val="24"/>
        </w:rPr>
        <w:t xml:space="preserve">Brottsförebyggande rådet (BRÅ)</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Skjutningar i kriminella miljöer</w:t>
      </w:r>
      <w:r>
        <w:rPr>
          <w:rFonts w:ascii="Times New Roman" w:cs="Times New Roman" w:eastAsia="Times New Roman" w:hAnsi="Times New Roman"/>
          <w:sz w:val="24"/>
          <w:szCs w:val="24"/>
        </w:rPr>
        <w:t xml:space="preserve">. Stockholm: BRÅ, 2019.</w:t>
      </w:r>
    </w:p>
    <w:p>
      <w:pPr>
        <w:spacing w:after="200" w:line="276"/>
      </w:pPr>
      <w:r>
        <w:rPr>
          <w:rFonts w:ascii="Times New Roman" w:cs="Times New Roman" w:eastAsia="Times New Roman" w:hAnsi="Times New Roman"/>
          <w:b/>
          <w:bCs/>
          <w:sz w:val="24"/>
          <w:szCs w:val="24"/>
        </w:rPr>
        <w:t xml:space="preserve">Europeiska centrumet för kontroll av narkotika och narkotikamissbruk (EMCDDA)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Drug Markets in Europe</w:t>
      </w:r>
      <w:r>
        <w:rPr>
          <w:rFonts w:ascii="Times New Roman" w:cs="Times New Roman" w:eastAsia="Times New Roman" w:hAnsi="Times New Roman"/>
          <w:sz w:val="24"/>
          <w:szCs w:val="24"/>
        </w:rPr>
        <w:t xml:space="preserve">. Lissabon: EMCDDA, 2022.</w:t>
      </w:r>
    </w:p>
    <w:p>
      <w:pPr>
        <w:spacing w:after="200" w:line="276"/>
      </w:pPr>
      <w:r>
        <w:rPr>
          <w:rFonts w:ascii="Times New Roman" w:cs="Times New Roman" w:eastAsia="Times New Roman" w:hAnsi="Times New Roman"/>
          <w:b/>
          <w:bCs/>
          <w:sz w:val="24"/>
          <w:szCs w:val="24"/>
        </w:rPr>
        <w:t xml:space="preserve">Europeiska centrumet för kontroll av narkotika och narkotikamissbruk (EMCDDA)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European Drug Report 2023: Trends and Developments</w:t>
      </w:r>
      <w:r>
        <w:rPr>
          <w:rFonts w:ascii="Times New Roman" w:cs="Times New Roman" w:eastAsia="Times New Roman" w:hAnsi="Times New Roman"/>
          <w:sz w:val="24"/>
          <w:szCs w:val="24"/>
        </w:rPr>
        <w:t xml:space="preserve">. Lissabon: EMCDDA, 2023.</w:t>
      </w:r>
    </w:p>
    <w:p>
      <w:pPr>
        <w:spacing w:after="200" w:line="276"/>
      </w:pPr>
      <w:r>
        <w:rPr>
          <w:rFonts w:ascii="Times New Roman" w:cs="Times New Roman" w:eastAsia="Times New Roman" w:hAnsi="Times New Roman"/>
          <w:b/>
          <w:bCs/>
          <w:sz w:val="24"/>
          <w:szCs w:val="24"/>
        </w:rPr>
        <w:t xml:space="preserve">Home Office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Homicide in England and Wales: Year ending March 2023</w:t>
      </w:r>
      <w:r>
        <w:rPr>
          <w:rFonts w:ascii="Times New Roman" w:cs="Times New Roman" w:eastAsia="Times New Roman" w:hAnsi="Times New Roman"/>
          <w:sz w:val="24"/>
          <w:szCs w:val="24"/>
        </w:rPr>
        <w:t xml:space="preserve">. London: Her Majesty's Stationery Office, 2023.</w:t>
      </w:r>
    </w:p>
    <w:p>
      <w:pPr>
        <w:spacing w:after="200" w:line="276"/>
      </w:pPr>
      <w:r>
        <w:rPr>
          <w:rFonts w:ascii="Times New Roman" w:cs="Times New Roman" w:eastAsia="Times New Roman" w:hAnsi="Times New Roman"/>
          <w:b/>
          <w:bCs/>
          <w:sz w:val="24"/>
          <w:szCs w:val="24"/>
        </w:rPr>
        <w:t xml:space="preserve">Home Office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Serious Violence Strategy</w:t>
      </w:r>
      <w:r>
        <w:rPr>
          <w:rFonts w:ascii="Times New Roman" w:cs="Times New Roman" w:eastAsia="Times New Roman" w:hAnsi="Times New Roman"/>
          <w:sz w:val="24"/>
          <w:szCs w:val="24"/>
        </w:rPr>
        <w:t xml:space="preserve">. London: Her Majesty's Stationery Office, 2018.</w:t>
      </w:r>
    </w:p>
    <w:p>
      <w:pPr>
        <w:spacing w:after="200" w:line="276"/>
      </w:pPr>
      <w:r>
        <w:rPr>
          <w:rFonts w:ascii="Times New Roman" w:cs="Times New Roman" w:eastAsia="Times New Roman" w:hAnsi="Times New Roman"/>
          <w:b/>
          <w:bCs/>
          <w:sz w:val="24"/>
          <w:szCs w:val="24"/>
        </w:rPr>
        <w:t xml:space="preserve">Rikspolisstyrelsen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Kriminella nätverk med stor påverkan på lokalsamhället</w:t>
      </w:r>
      <w:r>
        <w:rPr>
          <w:rFonts w:ascii="Times New Roman" w:cs="Times New Roman" w:eastAsia="Times New Roman" w:hAnsi="Times New Roman"/>
          <w:sz w:val="24"/>
          <w:szCs w:val="24"/>
        </w:rPr>
        <w:t xml:space="preserve">. Stockholm: Rikspolisstyrelsen, 2009.</w:t>
      </w:r>
    </w:p>
    <w:p>
      <w:pPr>
        <w:pStyle w:val="Heading2"/>
        <w:spacing w:after="160" w:before="320"/>
      </w:pPr>
      <w:r>
        <w:t xml:space="preserve">Akademiska verk och artiklar</w:t>
      </w:r>
    </w:p>
    <w:p>
      <w:pPr>
        <w:spacing w:after="200" w:line="276"/>
      </w:pPr>
      <w:r>
        <w:rPr>
          <w:rFonts w:ascii="Times New Roman" w:cs="Times New Roman" w:eastAsia="Times New Roman" w:hAnsi="Times New Roman"/>
          <w:b/>
          <w:bCs/>
          <w:sz w:val="24"/>
          <w:szCs w:val="24"/>
        </w:rPr>
        <w:t xml:space="preserve">Densley, John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How Gangs Work: An Ethnography of Youth Violence</w:t>
      </w:r>
      <w:r>
        <w:rPr>
          <w:rFonts w:ascii="Times New Roman" w:cs="Times New Roman" w:eastAsia="Times New Roman" w:hAnsi="Times New Roman"/>
          <w:sz w:val="24"/>
          <w:szCs w:val="24"/>
        </w:rPr>
        <w:t xml:space="preserve">. New York: Palgrave Macmillan, 2013.</w:t>
      </w:r>
    </w:p>
    <w:p>
      <w:pPr>
        <w:spacing w:after="200" w:line="276"/>
      </w:pPr>
      <w:r>
        <w:rPr>
          <w:rFonts w:ascii="Times New Roman" w:cs="Times New Roman" w:eastAsia="Times New Roman" w:hAnsi="Times New Roman"/>
          <w:b/>
          <w:bCs/>
          <w:sz w:val="24"/>
          <w:szCs w:val="24"/>
        </w:rPr>
        <w:t xml:space="preserve">Estrada, Felipe och Anders Nilsson</w:t>
      </w:r>
      <w:r>
        <w:rPr>
          <w:rFonts w:ascii="Times New Roman" w:cs="Times New Roman" w:eastAsia="Times New Roman" w:hAnsi="Times New Roman"/>
          <w:sz w:val="24"/>
          <w:szCs w:val="24"/>
        </w:rPr>
        <w:t xml:space="preserve">. 'Segregation och kriminalitet'. </w:t>
      </w:r>
      <w:r>
        <w:rPr>
          <w:rFonts w:ascii="Times New Roman" w:cs="Times New Roman" w:eastAsia="Times New Roman" w:hAnsi="Times New Roman"/>
          <w:i/>
          <w:iCs/>
          <w:sz w:val="24"/>
          <w:szCs w:val="24"/>
        </w:rPr>
        <w:t xml:space="preserve">Socialvetenskaplig tidskrift</w:t>
      </w:r>
      <w:r>
        <w:rPr>
          <w:rFonts w:ascii="Times New Roman" w:cs="Times New Roman" w:eastAsia="Times New Roman" w:hAnsi="Times New Roman"/>
          <w:sz w:val="24"/>
          <w:szCs w:val="24"/>
        </w:rPr>
        <w:t xml:space="preserve">, vol. 19, nr 1 (2012): 18–35.</w:t>
      </w:r>
    </w:p>
    <w:p>
      <w:pPr>
        <w:spacing w:after="200" w:line="276"/>
      </w:pPr>
      <w:r>
        <w:rPr>
          <w:rFonts w:ascii="Times New Roman" w:cs="Times New Roman" w:eastAsia="Times New Roman" w:hAnsi="Times New Roman"/>
          <w:b/>
          <w:bCs/>
          <w:sz w:val="24"/>
          <w:szCs w:val="24"/>
        </w:rPr>
        <w:t xml:space="preserve">Gerell, Manne</w:t>
      </w:r>
      <w:r>
        <w:rPr>
          <w:rFonts w:ascii="Times New Roman" w:cs="Times New Roman" w:eastAsia="Times New Roman" w:hAnsi="Times New Roman"/>
          <w:sz w:val="24"/>
          <w:szCs w:val="24"/>
        </w:rPr>
        <w:t xml:space="preserve">. 'Neighborhood Disorder and Crime Prevention through Environmental Design'. </w:t>
      </w:r>
      <w:r>
        <w:rPr>
          <w:rFonts w:ascii="Times New Roman" w:cs="Times New Roman" w:eastAsia="Times New Roman" w:hAnsi="Times New Roman"/>
          <w:i/>
          <w:iCs/>
          <w:sz w:val="24"/>
          <w:szCs w:val="24"/>
        </w:rPr>
        <w:t xml:space="preserve">Security Journal</w:t>
      </w:r>
      <w:r>
        <w:rPr>
          <w:rFonts w:ascii="Times New Roman" w:cs="Times New Roman" w:eastAsia="Times New Roman" w:hAnsi="Times New Roman"/>
          <w:sz w:val="24"/>
          <w:szCs w:val="24"/>
        </w:rPr>
        <w:t xml:space="preserve">, vol. 31, nr 1 (2018): 134–151.</w:t>
      </w:r>
    </w:p>
    <w:p>
      <w:pPr>
        <w:spacing w:after="200" w:line="276"/>
      </w:pPr>
      <w:r>
        <w:rPr>
          <w:rFonts w:ascii="Times New Roman" w:cs="Times New Roman" w:eastAsia="Times New Roman" w:hAnsi="Times New Roman"/>
          <w:b/>
          <w:bCs/>
          <w:sz w:val="24"/>
          <w:szCs w:val="24"/>
        </w:rPr>
        <w:t xml:space="preserve">Holgersson, Stefan och Johannes Knutsson</w:t>
      </w:r>
      <w:r>
        <w:rPr>
          <w:rFonts w:ascii="Times New Roman" w:cs="Times New Roman" w:eastAsia="Times New Roman" w:hAnsi="Times New Roman"/>
          <w:sz w:val="24"/>
          <w:szCs w:val="24"/>
        </w:rPr>
        <w:t xml:space="preserve">. 'Polisarbete mot grov organiserad brottslighet'. I </w:t>
      </w:r>
      <w:r>
        <w:rPr>
          <w:rFonts w:ascii="Times New Roman" w:cs="Times New Roman" w:eastAsia="Times New Roman" w:hAnsi="Times New Roman"/>
          <w:i/>
          <w:iCs/>
          <w:sz w:val="24"/>
          <w:szCs w:val="24"/>
        </w:rPr>
        <w:t xml:space="preserve">Organiserad brottslighet: Lösa strukturer och flexibla nätverk</w:t>
      </w:r>
      <w:r>
        <w:rPr>
          <w:rFonts w:ascii="Times New Roman" w:cs="Times New Roman" w:eastAsia="Times New Roman" w:hAnsi="Times New Roman"/>
          <w:sz w:val="24"/>
          <w:szCs w:val="24"/>
        </w:rPr>
        <w:t xml:space="preserve">, red. Lars Korsell. Stockholm: Rikspolisstyrelsen, 2010: 82–102.</w:t>
      </w:r>
    </w:p>
    <w:p>
      <w:pPr>
        <w:spacing w:after="200" w:line="276"/>
      </w:pPr>
      <w:r>
        <w:rPr>
          <w:rFonts w:ascii="Times New Roman" w:cs="Times New Roman" w:eastAsia="Times New Roman" w:hAnsi="Times New Roman"/>
          <w:b/>
          <w:bCs/>
          <w:sz w:val="24"/>
          <w:szCs w:val="24"/>
        </w:rPr>
        <w:t xml:space="preserve">Rostami, Amir och Hernan Mondani</w:t>
      </w:r>
      <w:r>
        <w:rPr>
          <w:rFonts w:ascii="Times New Roman" w:cs="Times New Roman" w:eastAsia="Times New Roman" w:hAnsi="Times New Roman"/>
          <w:sz w:val="24"/>
          <w:szCs w:val="24"/>
        </w:rPr>
        <w:t xml:space="preserve">. 'The Complexity of Crime Network Data: A Case Study of Its Consequences for Crime Control and the Study of Networks'.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vol. 10, nr 3 (2015): e0119309.</w:t>
      </w:r>
    </w:p>
    <w:p>
      <w:pPr>
        <w:spacing w:after="200" w:line="276"/>
      </w:pPr>
      <w:r>
        <w:rPr>
          <w:rFonts w:ascii="Times New Roman" w:cs="Times New Roman" w:eastAsia="Times New Roman" w:hAnsi="Times New Roman"/>
          <w:b/>
          <w:bCs/>
          <w:sz w:val="24"/>
          <w:szCs w:val="24"/>
        </w:rPr>
        <w:t xml:space="preserve">Williams, Patrick</w:t>
      </w:r>
      <w:r>
        <w:rPr>
          <w:rFonts w:ascii="Times New Roman" w:cs="Times New Roman" w:eastAsia="Times New Roman" w:hAnsi="Times New Roman"/>
          <w:sz w:val="24"/>
          <w:szCs w:val="24"/>
        </w:rPr>
        <w:t xml:space="preserve">. 'Criminalising the Other: Challenging the Race-Gang Nexus'. </w:t>
      </w:r>
      <w:r>
        <w:rPr>
          <w:rFonts w:ascii="Times New Roman" w:cs="Times New Roman" w:eastAsia="Times New Roman" w:hAnsi="Times New Roman"/>
          <w:i/>
          <w:iCs/>
          <w:sz w:val="24"/>
          <w:szCs w:val="24"/>
        </w:rPr>
        <w:t xml:space="preserve">Race &amp; Class</w:t>
      </w:r>
      <w:r>
        <w:rPr>
          <w:rFonts w:ascii="Times New Roman" w:cs="Times New Roman" w:eastAsia="Times New Roman" w:hAnsi="Times New Roman"/>
          <w:sz w:val="24"/>
          <w:szCs w:val="24"/>
        </w:rPr>
        <w:t xml:space="preserve">, vol. 59, nr 1 (2017): 45–63.</w:t>
      </w:r>
    </w:p>
    <w:p>
      <w:pPr>
        <w:pStyle w:val="Heading2"/>
        <w:spacing w:after="160" w:before="320"/>
      </w:pPr>
      <w:r>
        <w:t xml:space="preserve">Webbkällor</w:t>
      </w:r>
    </w:p>
    <w:p>
      <w:pPr>
        <w:spacing w:after="200" w:line="276"/>
      </w:pPr>
      <w:r>
        <w:rPr>
          <w:rFonts w:ascii="Times New Roman" w:cs="Times New Roman" w:eastAsia="Times New Roman" w:hAnsi="Times New Roman"/>
          <w:b/>
          <w:bCs/>
          <w:sz w:val="24"/>
          <w:szCs w:val="24"/>
        </w:rPr>
        <w:t xml:space="preserve">Brottsförebyggande rådet (BRÅ)</w:t>
      </w:r>
      <w:r>
        <w:rPr>
          <w:rFonts w:ascii="Times New Roman" w:cs="Times New Roman" w:eastAsia="Times New Roman" w:hAnsi="Times New Roman"/>
          <w:sz w:val="24"/>
          <w:szCs w:val="24"/>
        </w:rPr>
        <w:t xml:space="preserve">. 'Grov organiserad brottslighet'. </w:t>
      </w:r>
      <w:r>
        <w:rPr>
          <w:rFonts w:ascii="Times New Roman" w:cs="Times New Roman" w:eastAsia="Times New Roman" w:hAnsi="Times New Roman"/>
          <w:i/>
          <w:iCs/>
          <w:sz w:val="24"/>
          <w:szCs w:val="24"/>
        </w:rPr>
        <w:t xml:space="preserve">brå.se</w:t>
      </w:r>
      <w:r>
        <w:rPr>
          <w:rFonts w:ascii="Times New Roman" w:cs="Times New Roman" w:eastAsia="Times New Roman" w:hAnsi="Times New Roman"/>
          <w:sz w:val="24"/>
          <w:szCs w:val="24"/>
        </w:rPr>
        <w:t xml:space="preserve">, 2024. &lt;https://www.bra.se/brott-och-statistik/statistik-utifran-brottstyper/grov-organiserad-brottslighet.html&gt;. Hämtad 8 maj 2026.</w:t>
      </w:r>
    </w:p>
    <w:p>
      <w:pPr>
        <w:pStyle w:val="Heading1"/>
        <w:spacing w:after="240" w:before="480"/>
      </w:pPr>
      <w:r>
        <w:t xml:space="preserve">Noter</w:t>
      </w:r>
    </w:p>
    <w:p>
      <w:pPr>
        <w:spacing w:after="160" w:line="252"/>
        <w:ind w:left="440" w:hanging="440"/>
      </w:pPr>
      <w:bookmarkStart w:name="note_1" w:id="1"/>
      <w:r>
        <w:rPr>
          <w:rFonts w:ascii="Times New Roman" w:cs="Times New Roman" w:eastAsia="Times New Roman" w:hAnsi="Times New Roman"/>
          <w:b/>
          <w:bCs/>
          <w:sz w:val="20"/>
          <w:szCs w:val="20"/>
        </w:rPr>
        <w:t xml:space="preserve">1.</w:t>
      </w:r>
      <w:bookmarkEnd w:id="1"/>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Brottsförebyggande rådet (BRÅ), </w:t>
      </w:r>
      <w:r>
        <w:rPr>
          <w:rFonts w:ascii="Times New Roman" w:cs="Times New Roman" w:eastAsia="Times New Roman" w:hAnsi="Times New Roman"/>
          <w:i/>
          <w:iCs/>
          <w:sz w:val="20"/>
          <w:szCs w:val="20"/>
        </w:rPr>
        <w:t xml:space="preserve">Skjutningar i kriminella miljöer</w:t>
      </w:r>
      <w:r>
        <w:rPr>
          <w:rFonts w:ascii="Times New Roman" w:cs="Times New Roman" w:eastAsia="Times New Roman" w:hAnsi="Times New Roman"/>
          <w:sz w:val="20"/>
          <w:szCs w:val="20"/>
        </w:rPr>
        <w:t xml:space="preserve"> (Stockholm: BRÅ, 2019), s. 12.</w:t>
      </w:r>
    </w:p>
    <w:p>
      <w:pPr>
        <w:spacing w:after="160" w:line="252"/>
        <w:ind w:left="440" w:hanging="440"/>
      </w:pPr>
      <w:bookmarkStart w:name="note_2" w:id="2"/>
      <w:r>
        <w:rPr>
          <w:rFonts w:ascii="Times New Roman" w:cs="Times New Roman" w:eastAsia="Times New Roman" w:hAnsi="Times New Roman"/>
          <w:b/>
          <w:bCs/>
          <w:sz w:val="20"/>
          <w:szCs w:val="20"/>
        </w:rPr>
        <w:t xml:space="preserve">2.</w:t>
      </w:r>
      <w:bookmarkEnd w:id="2"/>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Home Office, </w:t>
      </w:r>
      <w:r>
        <w:rPr>
          <w:rFonts w:ascii="Times New Roman" w:cs="Times New Roman" w:eastAsia="Times New Roman" w:hAnsi="Times New Roman"/>
          <w:i/>
          <w:iCs/>
          <w:sz w:val="20"/>
          <w:szCs w:val="20"/>
        </w:rPr>
        <w:t xml:space="preserve">Serious Violence Strategy</w:t>
      </w:r>
      <w:r>
        <w:rPr>
          <w:rFonts w:ascii="Times New Roman" w:cs="Times New Roman" w:eastAsia="Times New Roman" w:hAnsi="Times New Roman"/>
          <w:sz w:val="20"/>
          <w:szCs w:val="20"/>
        </w:rPr>
        <w:t xml:space="preserve"> (London: Her Majesty's Stationery Office, 2018), s. 3.</w:t>
      </w:r>
    </w:p>
    <w:p>
      <w:pPr>
        <w:spacing w:after="160" w:line="252"/>
        <w:ind w:left="440" w:hanging="440"/>
      </w:pPr>
      <w:bookmarkStart w:name="note_3" w:id="3"/>
      <w:r>
        <w:rPr>
          <w:rFonts w:ascii="Times New Roman" w:cs="Times New Roman" w:eastAsia="Times New Roman" w:hAnsi="Times New Roman"/>
          <w:b/>
          <w:bCs/>
          <w:sz w:val="20"/>
          <w:szCs w:val="20"/>
        </w:rPr>
        <w:t xml:space="preserve">3.</w:t>
      </w:r>
      <w:bookmarkEnd w:id="3"/>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Europeiska centrumet för kontroll av narkotika och narkotikamissbruk (EMCDDA), </w:t>
      </w:r>
      <w:r>
        <w:rPr>
          <w:rFonts w:ascii="Times New Roman" w:cs="Times New Roman" w:eastAsia="Times New Roman" w:hAnsi="Times New Roman"/>
          <w:i/>
          <w:iCs/>
          <w:sz w:val="20"/>
          <w:szCs w:val="20"/>
        </w:rPr>
        <w:t xml:space="preserve">European Drug Report 2023: Trends and Developments</w:t>
      </w:r>
      <w:r>
        <w:rPr>
          <w:rFonts w:ascii="Times New Roman" w:cs="Times New Roman" w:eastAsia="Times New Roman" w:hAnsi="Times New Roman"/>
          <w:sz w:val="20"/>
          <w:szCs w:val="20"/>
        </w:rPr>
        <w:t xml:space="preserve"> (Lissabon: EMCDDA, 2023), s. 45.</w:t>
      </w:r>
    </w:p>
    <w:p>
      <w:pPr>
        <w:spacing w:after="160" w:line="252"/>
        <w:ind w:left="440" w:hanging="440"/>
      </w:pPr>
      <w:bookmarkStart w:name="note_4" w:id="4"/>
      <w:r>
        <w:rPr>
          <w:rFonts w:ascii="Times New Roman" w:cs="Times New Roman" w:eastAsia="Times New Roman" w:hAnsi="Times New Roman"/>
          <w:b/>
          <w:bCs/>
          <w:sz w:val="20"/>
          <w:szCs w:val="20"/>
        </w:rPr>
        <w:t xml:space="preserve">4.</w:t>
      </w:r>
      <w:bookmarkEnd w:id="4"/>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Amir Rostami och Hernan Mondani, 'The Complexity of Crime Network Data: A Case Study of Its Consequences for Crime Control and the Study of Networks', </w:t>
      </w:r>
      <w:r>
        <w:rPr>
          <w:rFonts w:ascii="Times New Roman" w:cs="Times New Roman" w:eastAsia="Times New Roman" w:hAnsi="Times New Roman"/>
          <w:i/>
          <w:iCs/>
          <w:sz w:val="20"/>
          <w:szCs w:val="20"/>
        </w:rPr>
        <w:t xml:space="preserve">PLOS ONE</w:t>
      </w:r>
      <w:r>
        <w:rPr>
          <w:rFonts w:ascii="Times New Roman" w:cs="Times New Roman" w:eastAsia="Times New Roman" w:hAnsi="Times New Roman"/>
          <w:sz w:val="20"/>
          <w:szCs w:val="20"/>
        </w:rPr>
        <w:t xml:space="preserve">, vol. 10, nr 3 (2015), e0119309.</w:t>
      </w:r>
    </w:p>
    <w:p>
      <w:pPr>
        <w:spacing w:after="160" w:line="252"/>
        <w:ind w:left="440" w:hanging="440"/>
      </w:pPr>
      <w:bookmarkStart w:name="note_5" w:id="5"/>
      <w:r>
        <w:rPr>
          <w:rFonts w:ascii="Times New Roman" w:cs="Times New Roman" w:eastAsia="Times New Roman" w:hAnsi="Times New Roman"/>
          <w:b/>
          <w:bCs/>
          <w:sz w:val="20"/>
          <w:szCs w:val="20"/>
        </w:rPr>
        <w:t xml:space="preserve">5.</w:t>
      </w:r>
      <w:bookmarkEnd w:id="5"/>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BRÅ, </w:t>
      </w:r>
      <w:r>
        <w:rPr>
          <w:rFonts w:ascii="Times New Roman" w:cs="Times New Roman" w:eastAsia="Times New Roman" w:hAnsi="Times New Roman"/>
          <w:i/>
          <w:iCs/>
          <w:sz w:val="20"/>
          <w:szCs w:val="20"/>
        </w:rPr>
        <w:t xml:space="preserve">Kriminella nätverk och grupperingar: Polisers bild av maktstrukturer och marknader</w:t>
      </w:r>
      <w:r>
        <w:rPr>
          <w:rFonts w:ascii="Times New Roman" w:cs="Times New Roman" w:eastAsia="Times New Roman" w:hAnsi="Times New Roman"/>
          <w:sz w:val="20"/>
          <w:szCs w:val="20"/>
        </w:rPr>
        <w:t xml:space="preserve"> (Stockholm: BRÅ, 2016), s. 28.</w:t>
      </w:r>
    </w:p>
    <w:p>
      <w:pPr>
        <w:spacing w:after="160" w:line="252"/>
        <w:ind w:left="440" w:hanging="440"/>
      </w:pPr>
      <w:bookmarkStart w:name="note_6" w:id="6"/>
      <w:r>
        <w:rPr>
          <w:rFonts w:ascii="Times New Roman" w:cs="Times New Roman" w:eastAsia="Times New Roman" w:hAnsi="Times New Roman"/>
          <w:b/>
          <w:bCs/>
          <w:sz w:val="20"/>
          <w:szCs w:val="20"/>
        </w:rPr>
        <w:t xml:space="preserve">6.</w:t>
      </w:r>
      <w:bookmarkEnd w:id="6"/>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Home Office, </w:t>
      </w:r>
      <w:r>
        <w:rPr>
          <w:rFonts w:ascii="Times New Roman" w:cs="Times New Roman" w:eastAsia="Times New Roman" w:hAnsi="Times New Roman"/>
          <w:i/>
          <w:iCs/>
          <w:sz w:val="20"/>
          <w:szCs w:val="20"/>
        </w:rPr>
        <w:t xml:space="preserve">Homicide in England and Wales: Year ending March 2023</w:t>
      </w:r>
      <w:r>
        <w:rPr>
          <w:rFonts w:ascii="Times New Roman" w:cs="Times New Roman" w:eastAsia="Times New Roman" w:hAnsi="Times New Roman"/>
          <w:sz w:val="20"/>
          <w:szCs w:val="20"/>
        </w:rPr>
        <w:t xml:space="preserve"> (London: Her Majesty's Stationery Office, 2023), s. 7.</w:t>
      </w:r>
    </w:p>
    <w:p>
      <w:pPr>
        <w:spacing w:after="160" w:line="252"/>
        <w:ind w:left="440" w:hanging="440"/>
      </w:pPr>
      <w:bookmarkStart w:name="note_7" w:id="7"/>
      <w:r>
        <w:rPr>
          <w:rFonts w:ascii="Times New Roman" w:cs="Times New Roman" w:eastAsia="Times New Roman" w:hAnsi="Times New Roman"/>
          <w:b/>
          <w:bCs/>
          <w:sz w:val="20"/>
          <w:szCs w:val="20"/>
        </w:rPr>
        <w:t xml:space="preserve">7.</w:t>
      </w:r>
      <w:bookmarkEnd w:id="7"/>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EMCDDA, </w:t>
      </w:r>
      <w:r>
        <w:rPr>
          <w:rFonts w:ascii="Times New Roman" w:cs="Times New Roman" w:eastAsia="Times New Roman" w:hAnsi="Times New Roman"/>
          <w:i/>
          <w:iCs/>
          <w:sz w:val="20"/>
          <w:szCs w:val="20"/>
        </w:rPr>
        <w:t xml:space="preserve">Drug Markets in Europe</w:t>
      </w:r>
      <w:r>
        <w:rPr>
          <w:rFonts w:ascii="Times New Roman" w:cs="Times New Roman" w:eastAsia="Times New Roman" w:hAnsi="Times New Roman"/>
          <w:sz w:val="20"/>
          <w:szCs w:val="20"/>
        </w:rPr>
        <w:t xml:space="preserve"> (Lissabon: EMCDDA, 2022), s. 31.</w:t>
      </w:r>
    </w:p>
    <w:p>
      <w:pPr>
        <w:spacing w:after="160" w:line="252"/>
        <w:ind w:left="440" w:hanging="440"/>
      </w:pPr>
      <w:bookmarkStart w:name="note_8" w:id="8"/>
      <w:r>
        <w:rPr>
          <w:rFonts w:ascii="Times New Roman" w:cs="Times New Roman" w:eastAsia="Times New Roman" w:hAnsi="Times New Roman"/>
          <w:b/>
          <w:bCs/>
          <w:sz w:val="20"/>
          <w:szCs w:val="20"/>
        </w:rPr>
        <w:t xml:space="preserve">8.</w:t>
      </w:r>
      <w:bookmarkEnd w:id="8"/>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Manne Gerell, 'Neighborhood Disorder and Crime Prevention through Environmental Design', </w:t>
      </w:r>
      <w:r>
        <w:rPr>
          <w:rFonts w:ascii="Times New Roman" w:cs="Times New Roman" w:eastAsia="Times New Roman" w:hAnsi="Times New Roman"/>
          <w:i/>
          <w:iCs/>
          <w:sz w:val="20"/>
          <w:szCs w:val="20"/>
        </w:rPr>
        <w:t xml:space="preserve">Security Journal</w:t>
      </w:r>
      <w:r>
        <w:rPr>
          <w:rFonts w:ascii="Times New Roman" w:cs="Times New Roman" w:eastAsia="Times New Roman" w:hAnsi="Times New Roman"/>
          <w:sz w:val="20"/>
          <w:szCs w:val="20"/>
        </w:rPr>
        <w:t xml:space="preserve">, vol. 31, nr 1 (2018), s. 141.</w:t>
      </w:r>
    </w:p>
    <w:p>
      <w:pPr>
        <w:spacing w:after="160" w:line="252"/>
        <w:ind w:left="440" w:hanging="440"/>
      </w:pPr>
      <w:bookmarkStart w:name="note_9" w:id="9"/>
      <w:r>
        <w:rPr>
          <w:rFonts w:ascii="Times New Roman" w:cs="Times New Roman" w:eastAsia="Times New Roman" w:hAnsi="Times New Roman"/>
          <w:b/>
          <w:bCs/>
          <w:sz w:val="20"/>
          <w:szCs w:val="20"/>
        </w:rPr>
        <w:t xml:space="preserve">9.</w:t>
      </w:r>
      <w:bookmarkEnd w:id="9"/>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BRÅ, </w:t>
      </w:r>
      <w:r>
        <w:rPr>
          <w:rFonts w:ascii="Times New Roman" w:cs="Times New Roman" w:eastAsia="Times New Roman" w:hAnsi="Times New Roman"/>
          <w:i/>
          <w:iCs/>
          <w:sz w:val="20"/>
          <w:szCs w:val="20"/>
        </w:rPr>
        <w:t xml:space="preserve">Polisens förmåga att bekämpa den grova organiserade brottsligheten</w:t>
      </w:r>
      <w:r>
        <w:rPr>
          <w:rFonts w:ascii="Times New Roman" w:cs="Times New Roman" w:eastAsia="Times New Roman" w:hAnsi="Times New Roman"/>
          <w:sz w:val="20"/>
          <w:szCs w:val="20"/>
        </w:rPr>
        <w:t xml:space="preserve"> (Stockholm: BRÅ, 2014), s. 44.</w:t>
      </w:r>
    </w:p>
    <w:p>
      <w:pPr>
        <w:spacing w:after="160" w:line="252"/>
        <w:ind w:left="440" w:hanging="440"/>
      </w:pPr>
      <w:bookmarkStart w:name="note_10" w:id="10"/>
      <w:r>
        <w:rPr>
          <w:rFonts w:ascii="Times New Roman" w:cs="Times New Roman" w:eastAsia="Times New Roman" w:hAnsi="Times New Roman"/>
          <w:b/>
          <w:bCs/>
          <w:sz w:val="20"/>
          <w:szCs w:val="20"/>
        </w:rPr>
        <w:t xml:space="preserve">10.</w:t>
      </w:r>
      <w:bookmarkEnd w:id="10"/>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John Densley, </w:t>
      </w:r>
      <w:r>
        <w:rPr>
          <w:rFonts w:ascii="Times New Roman" w:cs="Times New Roman" w:eastAsia="Times New Roman" w:hAnsi="Times New Roman"/>
          <w:i/>
          <w:iCs/>
          <w:sz w:val="20"/>
          <w:szCs w:val="20"/>
        </w:rPr>
        <w:t xml:space="preserve">How Gangs Work: An Ethnography of Youth Violence</w:t>
      </w:r>
      <w:r>
        <w:rPr>
          <w:rFonts w:ascii="Times New Roman" w:cs="Times New Roman" w:eastAsia="Times New Roman" w:hAnsi="Times New Roman"/>
          <w:sz w:val="20"/>
          <w:szCs w:val="20"/>
        </w:rPr>
        <w:t xml:space="preserve"> (New York: Palgrave Macmillan, 2013), s. 67.</w:t>
      </w:r>
    </w:p>
    <w:p>
      <w:pPr>
        <w:spacing w:after="160" w:line="252"/>
        <w:ind w:left="440" w:hanging="440"/>
      </w:pPr>
      <w:bookmarkStart w:name="note_11" w:id="11"/>
      <w:r>
        <w:rPr>
          <w:rFonts w:ascii="Times New Roman" w:cs="Times New Roman" w:eastAsia="Times New Roman" w:hAnsi="Times New Roman"/>
          <w:b/>
          <w:bCs/>
          <w:sz w:val="20"/>
          <w:szCs w:val="20"/>
        </w:rPr>
        <w:t xml:space="preserve">11.</w:t>
      </w:r>
      <w:bookmarkEnd w:id="11"/>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BRÅ, 'Grov organiserad brottslighet', </w:t>
      </w:r>
      <w:r>
        <w:rPr>
          <w:rFonts w:ascii="Times New Roman" w:cs="Times New Roman" w:eastAsia="Times New Roman" w:hAnsi="Times New Roman"/>
          <w:i/>
          <w:iCs/>
          <w:sz w:val="20"/>
          <w:szCs w:val="20"/>
        </w:rPr>
        <w:t xml:space="preserve">brå.se</w:t>
      </w:r>
      <w:r>
        <w:rPr>
          <w:rFonts w:ascii="Times New Roman" w:cs="Times New Roman" w:eastAsia="Times New Roman" w:hAnsi="Times New Roman"/>
          <w:sz w:val="20"/>
          <w:szCs w:val="20"/>
        </w:rPr>
        <w:t xml:space="preserve">, 2024, &lt;https://www.bra.se/brott-och-statistik/statistik-utifran-brottstyper/grov-organiserad-brottslighet.html&gt;, hämtad 8 maj 2026.</w:t>
      </w:r>
    </w:p>
    <w:p>
      <w:pPr>
        <w:spacing w:after="160" w:line="252"/>
        <w:ind w:left="440" w:hanging="440"/>
      </w:pPr>
      <w:bookmarkStart w:name="note_12" w:id="12"/>
      <w:r>
        <w:rPr>
          <w:rFonts w:ascii="Times New Roman" w:cs="Times New Roman" w:eastAsia="Times New Roman" w:hAnsi="Times New Roman"/>
          <w:b/>
          <w:bCs/>
          <w:sz w:val="20"/>
          <w:szCs w:val="20"/>
        </w:rPr>
        <w:t xml:space="preserve">12.</w:t>
      </w:r>
      <w:bookmarkEnd w:id="12"/>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Rikspolisstyrelsen, </w:t>
      </w:r>
      <w:r>
        <w:rPr>
          <w:rFonts w:ascii="Times New Roman" w:cs="Times New Roman" w:eastAsia="Times New Roman" w:hAnsi="Times New Roman"/>
          <w:i/>
          <w:iCs/>
          <w:sz w:val="20"/>
          <w:szCs w:val="20"/>
        </w:rPr>
        <w:t xml:space="preserve">Kriminella nätverk med stor påverkan på lokalsamhället</w:t>
      </w:r>
      <w:r>
        <w:rPr>
          <w:rFonts w:ascii="Times New Roman" w:cs="Times New Roman" w:eastAsia="Times New Roman" w:hAnsi="Times New Roman"/>
          <w:sz w:val="20"/>
          <w:szCs w:val="20"/>
        </w:rPr>
        <w:t xml:space="preserve"> (Stockholm: Rikspolisstyrelsen, 2009), s. 15.</w:t>
      </w:r>
    </w:p>
    <w:p>
      <w:pPr>
        <w:spacing w:after="160" w:line="252"/>
        <w:ind w:left="440" w:hanging="440"/>
      </w:pPr>
      <w:bookmarkStart w:name="note_13" w:id="13"/>
      <w:r>
        <w:rPr>
          <w:rFonts w:ascii="Times New Roman" w:cs="Times New Roman" w:eastAsia="Times New Roman" w:hAnsi="Times New Roman"/>
          <w:b/>
          <w:bCs/>
          <w:sz w:val="20"/>
          <w:szCs w:val="20"/>
        </w:rPr>
        <w:t xml:space="preserve">13.</w:t>
      </w:r>
      <w:bookmarkEnd w:id="13"/>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Stefan Holgersson och Johannes Knutsson, 'Polisarbete mot grov organiserad brottslighet', i </w:t>
      </w:r>
      <w:r>
        <w:rPr>
          <w:rFonts w:ascii="Times New Roman" w:cs="Times New Roman" w:eastAsia="Times New Roman" w:hAnsi="Times New Roman"/>
          <w:i/>
          <w:iCs/>
          <w:sz w:val="20"/>
          <w:szCs w:val="20"/>
        </w:rPr>
        <w:t xml:space="preserve">Organiserad brottslighet: Lösa strukturer och flexibla nätverk</w:t>
      </w:r>
      <w:r>
        <w:rPr>
          <w:rFonts w:ascii="Times New Roman" w:cs="Times New Roman" w:eastAsia="Times New Roman" w:hAnsi="Times New Roman"/>
          <w:sz w:val="20"/>
          <w:szCs w:val="20"/>
        </w:rPr>
        <w:t xml:space="preserve">, red. Lars Korsell (Stockholm: Rikspolisstyrelsen, 2010), s. 89.</w:t>
      </w:r>
    </w:p>
    <w:p>
      <w:pPr>
        <w:spacing w:after="160" w:line="252"/>
        <w:ind w:left="440" w:hanging="440"/>
      </w:pPr>
      <w:bookmarkStart w:name="note_14" w:id="14"/>
      <w:r>
        <w:rPr>
          <w:rFonts w:ascii="Times New Roman" w:cs="Times New Roman" w:eastAsia="Times New Roman" w:hAnsi="Times New Roman"/>
          <w:b/>
          <w:bCs/>
          <w:sz w:val="20"/>
          <w:szCs w:val="20"/>
        </w:rPr>
        <w:t xml:space="preserve">14.</w:t>
      </w:r>
      <w:bookmarkEnd w:id="14"/>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Patrick Williams, 'Criminalising the Other: Challenging the Race-Gang Nexus', </w:t>
      </w:r>
      <w:r>
        <w:rPr>
          <w:rFonts w:ascii="Times New Roman" w:cs="Times New Roman" w:eastAsia="Times New Roman" w:hAnsi="Times New Roman"/>
          <w:i/>
          <w:iCs/>
          <w:sz w:val="20"/>
          <w:szCs w:val="20"/>
        </w:rPr>
        <w:t xml:space="preserve">Race &amp; Class</w:t>
      </w:r>
      <w:r>
        <w:rPr>
          <w:rFonts w:ascii="Times New Roman" w:cs="Times New Roman" w:eastAsia="Times New Roman" w:hAnsi="Times New Roman"/>
          <w:sz w:val="20"/>
          <w:szCs w:val="20"/>
        </w:rPr>
        <w:t xml:space="preserve">, vol. 59, nr 1 (2017), s. 51.</w:t>
      </w:r>
    </w:p>
    <w:p>
      <w:pPr>
        <w:spacing w:after="160" w:line="252"/>
        <w:ind w:left="440" w:hanging="440"/>
      </w:pPr>
      <w:bookmarkStart w:name="note_15" w:id="15"/>
      <w:r>
        <w:rPr>
          <w:rFonts w:ascii="Times New Roman" w:cs="Times New Roman" w:eastAsia="Times New Roman" w:hAnsi="Times New Roman"/>
          <w:b/>
          <w:bCs/>
          <w:sz w:val="20"/>
          <w:szCs w:val="20"/>
        </w:rPr>
        <w:t xml:space="preserve">15.</w:t>
      </w:r>
      <w:bookmarkEnd w:id="15"/>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Felipe Estrada och Anders Nilsson, 'Segregation och kriminalitet', </w:t>
      </w:r>
      <w:r>
        <w:rPr>
          <w:rFonts w:ascii="Times New Roman" w:cs="Times New Roman" w:eastAsia="Times New Roman" w:hAnsi="Times New Roman"/>
          <w:i/>
          <w:iCs/>
          <w:sz w:val="20"/>
          <w:szCs w:val="20"/>
        </w:rPr>
        <w:t xml:space="preserve">Socialvetenskaplig tidskrift</w:t>
      </w:r>
      <w:r>
        <w:rPr>
          <w:rFonts w:ascii="Times New Roman" w:cs="Times New Roman" w:eastAsia="Times New Roman" w:hAnsi="Times New Roman"/>
          <w:sz w:val="20"/>
          <w:szCs w:val="20"/>
        </w:rPr>
        <w:t xml:space="preserve">, vol. 19, nr 1 (2012), s. 23.</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20"/>
        <w:szCs w:val="20"/>
      </w:rPr>
      <w:t xml:space="preserve">Sida </w:t>
    </w: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888888"/>
        <w:sz w:val="18"/>
        <w:szCs w:val="18"/>
      </w:rPr>
      <w:t xml:space="preserve">Gängkriminalitet i Sverige och Storbritannien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2026-05-08T12:22:19.069Z</dcterms:created>
  <dcterms:modified xsi:type="dcterms:W3CDTF">2026-05-08T12:22:19.070Z</dcterms:modified>
</cp:coreProperties>
</file>

<file path=docProps/custom.xml><?xml version="1.0" encoding="utf-8"?>
<Properties xmlns="http://schemas.openxmlformats.org/officeDocument/2006/custom-properties" xmlns:vt="http://schemas.openxmlformats.org/officeDocument/2006/docPropsVTypes"/>
</file>