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jc w:val="center"/>
      </w:pPr>
      <w:r>
        <w:rPr>
          <w:rFonts w:ascii="맑은 고딕" w:hAnsi="맑은 고딕"/>
          <w:b/>
          <w:sz w:val="28"/>
        </w:rPr>
        <w:t>하이브리드 측쇄를 가진 신규 블록 폴리카복실산염의 탄-수 슬러리에서의 분산 성능 및 흡착 거동</w:t>
      </w:r>
    </w:p>
    <w:p>
      <w:pPr>
        <w:spacing w:line="276" w:lineRule="auto" w:after="60"/>
      </w:pPr>
      <w:r>
        <w:rPr>
          <w:b/>
        </w:rPr>
        <w:t>연구 목적</w:t>
      </w:r>
      <w:r>
        <w:rPr>
          <w:rFonts w:ascii="맑은 고딕" w:hAnsi="맑은 고딕"/>
          <w:b/>
          <w:sz w:val="22"/>
        </w:rPr>
        <w:t>연구 목적</w:t>
      </w:r>
    </w:p>
    <w:p>
      <w:pPr>
        <w:spacing w:line="276" w:lineRule="auto" w:after="60"/>
      </w:pPr>
      <w:r>
        <w:rPr>
          <w:rFonts w:ascii="맑은 고딕" w:hAnsi="맑은 고딕"/>
          <w:sz w:val="20"/>
        </w:rPr>
        <w:t>저등급 석탄의 고농도 슬러리 제조를 위해 장-단 복합 측쇄를 가진 새로운 블록 폴리카복실산염(PCD) 분산제를 합성하고 특성을 조사하였다. 측쇄 구조와 탄-수 슬러리(CWS)의 성질 간의 관계를 규명하고, 분산제의 흡착 거동이 분산 성능에 미치는 영향을 이해하는 것을 목표로 하였다.</w:t>
      </w:r>
    </w:p>
    <w:p>
      <w:pPr>
        <w:spacing w:line="276" w:lineRule="auto" w:after="60"/>
      </w:pPr>
      <w:r>
        <w:rPr>
          <w:rFonts w:ascii="맑은 고딕" w:hAnsi="맑은 고딕"/>
          <w:b/>
          <w:sz w:val="22"/>
        </w:rPr>
        <w:t>주요 방법</w:t>
      </w:r>
    </w:p>
    <w:p>
      <w:pPr>
        <w:pStyle w:val="ListBullet"/>
        <w:spacing w:line="276" w:lineRule="auto" w:after="40"/>
        <w:ind w:left="360"/>
      </w:pPr>
      <w:r>
        <w:rPr>
          <w:rFonts w:ascii="맑은 고딕" w:hAnsi="맑은 고딕"/>
          <w:sz w:val="20"/>
        </w:rPr>
        <w:t>RAFT 중합을 이용하여 다양한 단-장 측쇄 몰 비율을 가진 블록 폴리카복실산염 분산제 5종(PCD-1~PCD-5) 합성</w:t>
      </w:r>
    </w:p>
    <w:p>
      <w:pPr>
        <w:pStyle w:val="ListBullet"/>
        <w:spacing w:line="276" w:lineRule="auto" w:after="40"/>
        <w:ind w:left="360"/>
      </w:pPr>
      <w:r>
        <w:rPr>
          <w:rFonts w:ascii="맑은 고딕" w:hAnsi="맑은 고딕"/>
          <w:sz w:val="20"/>
        </w:rPr>
        <w:t>탄-수 슬러리의 겉보기 점도, 제타 전위, 안정성을 측정하여 분산 성능 평가</w:t>
      </w:r>
    </w:p>
    <w:p>
      <w:pPr>
        <w:pStyle w:val="ListBullet"/>
        <w:spacing w:line="276" w:lineRule="auto" w:after="40"/>
        <w:ind w:left="360"/>
      </w:pPr>
      <w:r>
        <w:rPr>
          <w:rFonts w:ascii="맑은 고딕" w:hAnsi="맑은 고딕"/>
          <w:sz w:val="20"/>
        </w:rPr>
        <w:t>총유기탄소 분석기를 이용하여 석탄 표면에 흡착된 분산제의 양 정량화</w:t>
      </w:r>
    </w:p>
    <w:p>
      <w:pPr>
        <w:pStyle w:val="ListBullet"/>
        <w:spacing w:line="276" w:lineRule="auto" w:after="40"/>
        <w:ind w:left="360"/>
      </w:pPr>
      <w:r>
        <w:rPr>
          <w:rFonts w:ascii="맑은 고딕" w:hAnsi="맑은 고딕"/>
          <w:sz w:val="20"/>
        </w:rPr>
        <w:t>주사전자현미경(ESEM)과 에너지 분산 X선 분광(EDS)으로 석탄 표면의 분산제 흡착 상태 관찰</w:t>
      </w:r>
    </w:p>
    <w:p>
      <w:pPr>
        <w:pStyle w:val="ListBullet"/>
        <w:spacing w:line="276" w:lineRule="auto" w:after="40"/>
        <w:ind w:left="360"/>
      </w:pPr>
      <w:r>
        <w:rPr>
          <w:rFonts w:ascii="맑은 고딕" w:hAnsi="맑은 고딕"/>
          <w:sz w:val="20"/>
        </w:rPr>
        <w:t>분산제 농도별 흡착 등온선 측정 및 레올로지 특성(Herschel-Bulkley 및 Power-law 모델) 분석</w:t>
      </w:r>
    </w:p>
    <w:p>
      <w:pPr>
        <w:spacing w:line="276" w:lineRule="auto" w:after="60"/>
      </w:pPr>
      <w:r>
        <w:rPr>
          <w:rFonts w:ascii="맑은 고딕" w:hAnsi="맑은 고딕"/>
          <w:b/>
          <w:sz w:val="22"/>
        </w:rPr>
        <w:t>핵심 결과</w:t>
      </w:r>
    </w:p>
    <w:p>
      <w:pPr>
        <w:pStyle w:val="ListBullet"/>
        <w:spacing w:line="276" w:lineRule="auto" w:after="40"/>
        <w:ind w:left="360"/>
      </w:pPr>
      <w:r>
        <w:rPr>
          <w:rFonts w:ascii="맑은 고딕" w:hAnsi="맑은 고딕"/>
          <w:sz w:val="20"/>
        </w:rPr>
        <w:t>단:장 측쇄 몰 비율이 약 1:1인 PCD-2가 최적의 분산 성능과 안정성을 나타냈으며, RAFT 중합으로 제조한 PCD가 무작위 중합 제어 표본보다 우수한 점도 감소 효과 시현</w:t>
      </w:r>
    </w:p>
    <w:p>
      <w:pPr>
        <w:pStyle w:val="ListBullet"/>
        <w:spacing w:line="276" w:lineRule="auto" w:after="40"/>
        <w:ind w:left="360"/>
      </w:pPr>
      <w:r>
        <w:rPr>
          <w:rFonts w:ascii="맑은 고딕" w:hAnsi="맑은 고딕"/>
          <w:sz w:val="20"/>
        </w:rPr>
        <w:t>석탄 표면에 대한 PCD의 흡착량이 증가함에 따라 슬러리의 겉보기 점도, 안정성, 제타 전위가 모두 향상되었으므로 흡착 거동이 분산 성능의 핵심 인자임을 확인</w:t>
      </w:r>
    </w:p>
    <w:p>
      <w:pPr>
        <w:pStyle w:val="ListBullet"/>
        <w:spacing w:line="276" w:lineRule="auto" w:after="40"/>
        <w:ind w:left="360"/>
      </w:pPr>
      <w:r>
        <w:rPr>
          <w:rFonts w:ascii="맑은 고딕" w:hAnsi="맑은 고딕"/>
          <w:sz w:val="20"/>
        </w:rPr>
        <w:t>PCD-2는 석탄 표면에서 더 큰 흡착량을 형성하여 정전기적 반발력과 입체 장애 효과를 극대화함으로써 우수한 분산 특성 발휘</w:t>
      </w:r>
    </w:p>
    <w:p>
      <w:pPr>
        <w:pStyle w:val="ListBullet"/>
        <w:spacing w:line="276" w:lineRule="auto" w:after="40"/>
        <w:ind w:left="360"/>
      </w:pPr>
      <w:r>
        <w:rPr>
          <w:rFonts w:ascii="맑은 고딕" w:hAnsi="맑은 고딕"/>
          <w:sz w:val="20"/>
        </w:rPr>
        <w:t>고온 및 고전단 환경에서도 PCD의 흡착층이 안정적으로 유지되어 저등급 석탄의 장시간 저장 및 수송 시 슬러리 점도 증가를 억제</w:t>
      </w:r>
    </w:p>
    <w:p>
      <w:pPr>
        <w:spacing w:line="276" w:lineRule="auto" w:after="60"/>
      </w:pPr>
      <w:r>
        <w:rPr>
          <w:rFonts w:ascii="맑은 고딕" w:hAnsi="맑은 고딕"/>
          <w:b/>
          <w:sz w:val="22"/>
        </w:rPr>
        <w:t>결론</w:t>
      </w:r>
    </w:p>
    <w:p>
      <w:pPr>
        <w:spacing w:line="276" w:lineRule="auto"/>
      </w:pPr>
      <w:r>
        <w:rPr>
          <w:rFonts w:ascii="맑은 고딕" w:hAnsi="맑은 고딕"/>
          <w:sz w:val="20"/>
        </w:rPr>
        <w:t>하이브리드 측쇄를 가진 블록 폴리카복실산염 분산제는 장쇄의 공간적 장애 효과와 단쇄의 흡착 용이성을 결합하여 저등급 석탄 슬러리의 분산 성능을 현저히 개선한다. 특히 단:장 측쇄 비율의 최적화를 통해 석탄 표면에서의 흡착 거동을 정밀하게 제어할 수 있으며, 이는 고농도 탄-수 슬러리의 개발 및 실용화에 중요한 지침을 제공한다.</w:t>
      </w:r>
    </w:p>
    <w:sectPr w:rsidR="00FC693F" w:rsidRPr="0006063C" w:rsidSect="00034616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