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Self-Dual Distinguishability Framework</w:t>
      </w:r>
    </w:p>
    <w:p>
      <w:pPr>
        <w:jc w:val="center"/>
      </w:pPr>
      <w:r>
        <w:rPr>
          <w:rFonts w:ascii="Carlito" w:hAnsi="Carlito"/>
          <w:b/>
          <w:color w:val="414E5C"/>
          <w:sz w:val="28"/>
        </w:rPr>
        <w:t>Candidate Master Equation — Complete Current Form</w:t>
      </w:r>
    </w:p>
    <w:p>
      <w:pPr>
        <w:pStyle w:val="SmallNote"/>
        <w:jc w:val="center"/>
      </w:pPr>
      <w:r>
        <w:t>September 4, 2026 • Research whiteboard synthesis</w:t>
      </w:r>
    </w:p>
    <w:p>
      <w:pPr>
        <w:jc w:val="center"/>
      </w:pPr>
      <w:r>
        <w:rPr>
          <w:rFonts w:ascii="Liberation Serif" w:hAnsi="Liberation Serif"/>
          <w:b/>
          <w:sz w:val="21"/>
        </w:rPr>
        <w:t>Important: this is a candidate framework, not an established fundamental law of nature.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12"/>
            <w:shd w:fill="E8ED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rlito" w:hAnsi="Carlito"/>
                <w:b/>
              </w:rPr>
              <w:t>Status</w:t>
            </w:r>
          </w:p>
        </w:tc>
        <w:tc>
          <w:tcPr>
            <w:tcW w:type="dxa" w:w="5112"/>
            <w:shd w:fill="E8ED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rlito" w:hAnsi="Carlito"/>
                <w:b/>
              </w:rPr>
              <w:t>Meaning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[D]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Derived within the present construction, conditional on the stated axioms/definitions.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[E]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Established external mathematics or physics theorem/result used as a bridge.</w:t>
            </w:r>
          </w:p>
        </w:tc>
      </w:tr>
      <w:t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[C]</w:t>
            </w:r>
          </w:p>
        </w:tc>
        <w:tc>
          <w:tcPr>
            <w:tcW w:type="dxa" w:w="84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Conditional/open physical emergence step; not yet proved from the primitive law alone.</w:t>
            </w:r>
          </w:p>
        </w:tc>
      </w:tr>
    </w:tbl>
    <w:p>
      <w:pPr>
        <w:pStyle w:val="Heading1"/>
      </w:pPr>
      <w:r>
        <w:t>1. Master Equation</w:t>
      </w:r>
    </w:p>
    <w:p>
      <w:r>
        <w:t>The full current spine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[D]  Primitive distinction space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(X, ⟂),      x^⟂ = y^⟂  ⇒  x = y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[D]  Distinction self-duality / profile representability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∀ f:A→B, ∀ b∈B, ∃! f†(b)∈A :  f(a) ⟂ b  ⇔  a ⟂ f†(b)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⇒  f††=f,   (g∘f)†=f†∘g†,   I†=I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[E]  Closed contexts and quantum geometry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L(X)={A⊆X : A=A^⟂⟂}  →  orthomodular structure  →  P(H_F)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[E/D]  Composition + local tomography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H_AB = H_A ⊗_C H_B,      F = C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p(P|ρ) = Tr(ρP)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[D/E]  Minimal binary context and Lorentz algebra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H_2=C²,      V=Herm_2(C)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J(X)=Tr(X)I−X,      J²=I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g(X,Y)=½ Tr[X J(Y)]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X=x^μσ_μ  ⇒  g(X,X)=(x⁰)²−(x¹)²−(x²)²−(x³)²=det X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Herm_2⁺(C) ≅ L_4⁺,      SL(2,C)/{±I} ≅ SO⁺(1,3)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[D]  Canonical primitive source-selection instrument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E(dQ)=2(I−Q)dν_FS(Q)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W_P(dQ)=Tr[P E(dQ)] = 2 Tr[P(I−Q)] dν_FS(Q)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I(dQ)[ρ] = 2 Tr[(I−Q)ρ] Q dν_FS(Q)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∫ I(dQ) is trace preserving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[D]  Exact primitive mixing on CP¹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(Tf)(P)=∫ f(Q) W_P(dQ)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spec(T)={1, −1/3, 0},      ||T^k f_0||₂ ≤ 3^(−k)||f_0||₂  (mean-zero f_0)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[E/C]  Quantum process built from the primitive instruments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P(a⃗|x⃗)=Tr[ W_N ⊗_i M^{A_i}_{a_i|x_i} ]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[C]  Thermodynamic causal decomposition / operational influence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A ↝ B  ⇔  ∃ x_A,x'_A : P_B(·|x_A) ≠ P_B(·|x'_A)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W_N  ──N→∞──▶  (C_N, ≺_N)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[D/E/C]  Local realization and four-dimensional tangent support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S_x = Φ_x(G_x) = Herm_2⁺(C)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span_R S_x = Herm_2(C),      dim_R = 4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μ(sA)=s⁴ μ(A)  ⇒  d_local=4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[C/E]  Mixing event map and Poisson RG fixed point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R_p = S_{p^(1/4)} ∘ T_p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||κ_r^{!,k}||_TV = p_0^{k(r−1)} ||κ_r^{!,0}||_TV  → 0  (r≥2)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⇒  Φ_k ⇒ PPP(ρ d⁴x)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[D/E]  Causal interval RG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F_C(z)=Σ_{m≥0} N_m z^m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E[F_{T_pC}(z)|C]=p² F_C(1−p+pz)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F_N(z)~N^γ L(N) f(z)  ⇒  f(z)=C(1−z)^{−(2−γ)}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d_eff = 2/(2−γ)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d_eff=4  ⇒  γ=3/2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N_m/N_0 → Γ(m+½)/(√π Γ(m+1)) = binom(2m,m)/4^m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[C/E]  Smooth Cartan limit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e_ij∈Herm_2(C),      U_ij∈SL(2,C)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T_ijk=e_ij+U_ij e_jk U_ij†−e_ik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H_ijk=U_ij U_jk U_ki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||T_ijk||/A_ijk→0,      log(H_ijk)/A_ijk→R_ijk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⇒  de^I+ω^I_J∧e^J=0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    R^I_J=dω^I_J+ω^I_K∧ω^K_J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⇒  (M⁴,g_{μν},ω)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b/>
                <w:sz w:val="16"/>
              </w:rPr>
              <w:t>[E/C]  Infrared gravitational and matter limit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S_eff = ∫ d⁴x √(−g) [ (R−2Λ)/(16πG) + L_matter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                       + c₁R² + c₂R_{μν}R^{μν} + … ]</w:t>
            </w:r>
          </w:p>
          <w:p>
            <w:pPr>
              <w:pStyle w:val="EquationBlock"/>
              <w:spacing w:after="10"/>
              <w:ind w:left="0" w:right="0"/>
            </w:pPr>
            <w:r>
              <w:rPr>
                <w:rFonts w:ascii="DejaVu Sans" w:hAnsi="DejaVu Sans" w:eastAsia="DejaVu Sans"/>
                <w:sz w:val="16"/>
              </w:rPr>
              <w:t xml:space="preserve">    E≪M_*  ⇒  G_{μν}+Λg_{μν}=8πG T_{μν}+O(E²/M_*²).</w:t>
            </w:r>
          </w:p>
        </w:tc>
      </w:tr>
    </w:tbl>
    <w:p>
      <w:pPr>
        <w:pStyle w:val="Heading1"/>
      </w:pPr>
      <w:r>
        <w:t>2. Primitive Law in Its Most Compact Form</w:t>
      </w:r>
    </w:p>
    <w:p>
      <w:pPr>
        <w:pStyle w:val="EquationBlock"/>
        <w:jc w:val="center"/>
      </w:pPr>
      <w:r>
        <w:rPr>
          <w:rFonts w:ascii="DejaVu Sans" w:hAnsi="DejaVu Sans" w:eastAsia="DejaVu Sans"/>
          <w:b/>
          <w:sz w:val="28"/>
        </w:rPr>
        <w:t>f(a) ⟂ b  ⇔  a ⟂ f†(b)</w:t>
      </w:r>
    </w:p>
    <w:p>
      <w:r>
        <w:t>The current proposal treats this reciprocal representability of distinction profiles as the primitive structural law. The canonical binary source-selection rule then becomes:</w:t>
      </w:r>
    </w:p>
    <w:p>
      <w:pPr>
        <w:pStyle w:val="EquationBlock"/>
        <w:jc w:val="center"/>
      </w:pPr>
      <w:r>
        <w:rPr>
          <w:rFonts w:ascii="DejaVu Sans" w:hAnsi="DejaVu Sans" w:eastAsia="DejaVu Sans"/>
          <w:b/>
          <w:sz w:val="26"/>
        </w:rPr>
        <w:t>W_P(dQ) = 2 Tr[P(I−Q)] dν_FS(Q)</w:t>
      </w:r>
    </w:p>
    <w:p>
      <w:r>
        <w:t>where P and Q are pure qubit distinction profiles and ν_FS is the normalized Fubini–Study measure on CP¹.</w:t>
      </w:r>
    </w:p>
    <w:p>
      <w:pPr>
        <w:pStyle w:val="Heading1"/>
      </w:pPr>
      <w:r>
        <w:t>3. Exact Consequences Used in the Chain</w:t>
      </w:r>
    </w:p>
    <w:p>
      <w:r>
        <w:rPr>
          <w:b/>
        </w:rPr>
        <w:t xml:space="preserve">Dagger laws: </w:t>
      </w:r>
      <w:r>
        <w:t>f††=f, (g∘f)†=f†∘g†, and I†=I follow from symmetry of ⟂ and uniqueness of the representative.</w:t>
      </w:r>
    </w:p>
    <w:p>
      <w:r>
        <w:rPr>
          <w:b/>
        </w:rPr>
        <w:t xml:space="preserve">Complex binary context: </w:t>
      </w:r>
      <w:r>
        <w:t>Under the adopted Hilbert/orthomodular reconstruction plus locally tomographic composition, the minimal nonclassical binary context is C².</w:t>
      </w:r>
    </w:p>
    <w:p>
      <w:r>
        <w:rPr>
          <w:b/>
        </w:rPr>
        <w:t xml:space="preserve">Minkowski bilinear form: </w:t>
      </w:r>
      <w:r>
        <w:t>For X=x^μσ_μ in Herm₂(C), ½Tr[X(Tr(X)I−X)]=(x⁰)²−|x⃗|².</w:t>
      </w:r>
    </w:p>
    <w:p>
      <w:r>
        <w:rPr>
          <w:b/>
        </w:rPr>
        <w:t xml:space="preserve">Canonical source measure: </w:t>
      </w:r>
      <w:r>
        <w:t>Covariance, “no self-distinction,” and quantum normalization give E(dQ)=2(I−Q)dν_FS(Q) and W_P(dQ)=2Tr[P(I−Q)]dν_FS(Q).</w:t>
      </w:r>
    </w:p>
    <w:p>
      <w:r>
        <w:rPr>
          <w:b/>
        </w:rPr>
        <w:t xml:space="preserve">Parameter-free profile mixing: </w:t>
      </w:r>
      <w:r>
        <w:t>The associated Markov operator on CP¹ has eigenvalues 1, −1/3, and 0, giving a spectral gap 2/3.</w:t>
      </w:r>
    </w:p>
    <w:p>
      <w:r>
        <w:rPr>
          <w:b/>
        </w:rPr>
        <w:t xml:space="preserve">4D interval fixed point: </w:t>
      </w:r>
      <w:r>
        <w:t>The thinning identity forces scale-covariant interval spectra into f(z)=C(1−z)^(−α); matching the realized local tangent dimension gives α=1/2 and γ=3/2.</w:t>
      </w:r>
    </w:p>
    <w:p>
      <w:r>
        <w:rPr>
          <w:b/>
        </w:rPr>
        <w:t xml:space="preserve">Fluctuation contraction: </w:t>
      </w:r>
      <w:r>
        <w:t>For persistent one-event growth whose conditional mean follows the fixed-point trajectory, relative fixed-layer interval fluctuations contract and the normalized counts converge almost surely.</w:t>
      </w:r>
    </w:p>
    <w:p>
      <w:pPr>
        <w:pStyle w:val="Heading1"/>
      </w:pPr>
      <w:r>
        <w:t>4. What Is Still Conditional</w:t>
      </w:r>
    </w:p>
    <w:p>
      <w:r>
        <w:t>The equation is complete as a candidate framework, but two large-scale transitions are not presently derived from the primitive law alone:</w:t>
      </w:r>
    </w:p>
    <w:p>
      <w:pPr>
        <w:ind w:left="360" w:hanging="216"/>
      </w:pPr>
      <w:r>
        <w:rPr>
          <w:b/>
        </w:rPr>
        <w:t xml:space="preserve">• </w:t>
      </w:r>
      <w:r>
        <w:t>The exact process W generated by the primitive instruments must be shown to enter the thermodynamic causal-decomposition regime rather than a noncausal or pathological phase.</w:t>
      </w:r>
    </w:p>
    <w:p>
      <w:pPr>
        <w:ind w:left="360" w:hanging="216"/>
      </w:pPr>
      <w:r>
        <w:rPr>
          <w:b/>
        </w:rPr>
        <w:t xml:space="preserve">• </w:t>
      </w:r>
      <w:r>
        <w:t>The resulting decorated causal network must be shown to lie in the smooth-continuum basin so that the discrete frame/holonomy data converge to a Cartan/Lorentzian manifold globally, not merely locally.</w:t>
      </w:r>
    </w:p>
    <w:p>
      <w:pPr>
        <w:pStyle w:val="SmallNote"/>
      </w:pPr>
      <w:r>
        <w:t>Accordingly, the framework should be described as a mathematically explicit candidate reconstruction program, not as a proven theory of nature.</w:t>
      </w:r>
    </w:p>
    <w:p>
      <w:pPr>
        <w:pStyle w:val="Heading1"/>
      </w:pPr>
      <w:r>
        <w:t>5. Symbol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DF2"/>
          </w:tcPr>
          <w:p>
            <w:r>
              <w:rPr>
                <w:rFonts w:ascii="Carlito" w:hAnsi="Carlito"/>
                <w:b/>
              </w:rPr>
              <w:t>Symbol</w:t>
            </w:r>
          </w:p>
        </w:tc>
        <w:tc>
          <w:tcPr>
            <w:tcW w:type="dxa" w:w="5112"/>
            <w:shd w:fill="E8EDF2"/>
          </w:tcPr>
          <w:p>
            <w:r>
              <w:rPr>
                <w:rFonts w:ascii="Carlito" w:hAnsi="Carlito"/>
                <w:b/>
              </w:rPr>
              <w:t>Meaning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X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primitive possibility/distinction space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⟂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perfect distinguishability relation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†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adjoint/reciprocal distinction map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H_F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Hilbert/Hermitian state space over scalar field F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P(H)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projective pure-state geometry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P,Q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rank-one qubit projectors / pure distinction profiles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ν_FS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normalized Fubini–Study measure on CP¹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W_P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canonical source-selection Markov kernel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W_N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quantum process operator for N effective laboratories/contexts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C_N, ≺_N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emergent causal set/partial order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κ_r^!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reduced factorial cumulant measure of order r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F_C(z)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causal-interval generating function ΣN_m z^m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γ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interval-count scaling exponent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d_eff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effective causal dimension 2/(2−γ)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e_ij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discrete local Herm₂(C) displacement/tetrad-like datum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U_ij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local SL(2,C) frame transport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T_ijk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discrete torsion defect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H_ijk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discrete holonomy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ω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spin/Lorentz connection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R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Ricci scalar in the continuum effective action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Λ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cosmological constant</w:t>
            </w:r>
          </w:p>
        </w:tc>
      </w:tr>
      <w:tr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M_*</w:t>
            </w:r>
          </w:p>
        </w:tc>
        <w:tc>
          <w:tcPr>
            <w:tcW w:type="dxa" w:w="5112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t>microscopic/UV scale suppressing higher-curvature corrections</w:t>
            </w:r>
          </w:p>
        </w:tc>
      </w:tr>
    </w:tbl>
    <w:p>
      <w:pPr>
        <w:pStyle w:val="Heading1"/>
      </w:pPr>
      <w:r>
        <w:t>6. One-Line Compression</w:t>
      </w:r>
    </w:p>
    <w:p>
      <w:pPr>
        <w:pStyle w:val="EquationBlock"/>
        <w:jc w:val="center"/>
      </w:pPr>
      <w:r>
        <w:rPr>
          <w:rFonts w:ascii="DejaVu Sans" w:hAnsi="DejaVu Sans" w:eastAsia="DejaVu Sans"/>
          <w:b/>
          <w:sz w:val="21"/>
        </w:rPr>
        <w:t>(X,⟂) → DSD/† → P(H_C) → C² → W_P(dQ) → W_N → (C,≺) → d_eff=4 → Poisson/RG continuum → Cartan geometry → GR+QFT_IR</w:t>
      </w:r>
    </w:p>
    <w:p>
      <w:pPr>
        <w:pStyle w:val="SmallNote"/>
        <w:jc w:val="center"/>
      </w:pPr>
      <w:r>
        <w:t>Arrows through causal decomposition and global smooth-continuum emergence remain conditional research steps.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646464"/>
        <w:sz w:val="16"/>
      </w:rPr>
      <w:t xml:space="preserve">Self-Dual Distinguishability Framework  •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 w:eastAsia="Carlito"/>
      <w:b/>
      <w:bCs/>
      <w:color w:val="202D3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rlito" w:hAnsi="Carlito" w:eastAsia="Carlito"/>
      <w:b/>
      <w:bCs/>
      <w:color w:val="202D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rlito" w:hAnsi="Carlito" w:eastAsia="Carlito"/>
      <w:b/>
      <w:bCs/>
      <w:color w:val="202D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rlito" w:hAnsi="Carlito" w:eastAsia="Carlito"/>
      <w:b/>
      <w:color w:val="202D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Block"/>
    <w:pPr>
      <w:spacing w:before="40" w:after="40" w:line="252" w:lineRule="auto"/>
      <w:ind w:left="259" w:right="259"/>
    </w:pPr>
    <w:rPr>
      <w:rFonts w:ascii="DejaVu Sans" w:hAnsi="DejaVu Sans" w:eastAsia="DejaVu Sans"/>
      <w:sz w:val="18"/>
    </w:rPr>
  </w:style>
  <w:style w:type="paragraph" w:customStyle="1" w:styleId="SmallNote">
    <w:name w:val="SmallNote"/>
    <w:rPr>
      <w:rFonts w:ascii="Liberation Serif" w:hAnsi="Liberation Serif" w:eastAsia="Liberation Serif"/>
      <w:i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