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Heading1"/>
      </w:pPr>
      <w:bookmarkStart w:id="20" w:name="план-проходження-практики"/>
      <w:r>
        <w:t xml:space="preserve">План проходження практики</w:t>
      </w:r>
      <w:bookmarkEnd w:id="20"/>
    </w:p>
    <w:p>
      <w:pPr>
        <w:pStyle w:val="Heading2"/>
      </w:pPr>
      <w:bookmarkStart w:id="21" w:name="X8eee77480a47920eb717c242176ddf99051d567"/>
      <w:r>
        <w:t xml:space="preserve">Тиждень 1. Ознайомлення з Інститутом та його історією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Вивчення історії створення та розвитку Інституту.</w:t>
      </w:r>
    </w:p>
    <w:p>
      <w:pPr>
        <w:pStyle w:val="Compact"/>
        <w:numPr>
          <w:numId w:val="1001"/>
          <w:ilvl w:val="0"/>
        </w:numPr>
      </w:pPr>
      <w:r>
        <w:t xml:space="preserve">Ознайомлення з основними напрямами наукової діяльності установи.</w:t>
      </w:r>
    </w:p>
    <w:p>
      <w:pPr>
        <w:pStyle w:val="Compact"/>
        <w:numPr>
          <w:numId w:val="1001"/>
          <w:ilvl w:val="0"/>
        </w:numPr>
      </w:pPr>
      <w:r>
        <w:t xml:space="preserve">Аналіз структури Інституту: наукові відділи, лабораторії, експериментальні бази.</w:t>
      </w:r>
    </w:p>
    <w:p>
      <w:pPr>
        <w:pStyle w:val="Compact"/>
        <w:numPr>
          <w:numId w:val="1001"/>
          <w:ilvl w:val="0"/>
        </w:numPr>
      </w:pPr>
      <w:r>
        <w:t xml:space="preserve">Вивчення внеску академіка Г.С. Писаренка та його наукової школи.</w:t>
      </w:r>
    </w:p>
    <w:p>
      <w:pPr>
        <w:pStyle w:val="Compact"/>
        <w:numPr>
          <w:numId w:val="1001"/>
          <w:ilvl w:val="0"/>
        </w:numPr>
      </w:pPr>
      <w:r>
        <w:t xml:space="preserve">Оформлення щоденника практики та первинних висновків щодо специфіки наукової установи.</w:t>
      </w:r>
    </w:p>
    <w:p>
      <w:pPr>
        <w:pStyle w:val="Heading2"/>
      </w:pPr>
      <w:bookmarkStart w:id="22" w:name="X801a891b43645d3327590f7492b50cc4ca14385"/>
      <w:r>
        <w:t xml:space="preserve">Тиждень 2. Дослідження актуальних технологій та методів, що застосовуються в Інституті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Ознайомлення з сучасними підходами до аналізу міцності конструкцій в екстремальних умовах.</w:t>
      </w:r>
    </w:p>
    <w:p>
      <w:pPr>
        <w:pStyle w:val="Compact"/>
        <w:numPr>
          <w:numId w:val="1002"/>
          <w:ilvl w:val="0"/>
        </w:numPr>
      </w:pPr>
      <w:r>
        <w:t xml:space="preserve">Вивчення методів розрахунку граничних станів та деформування матеріалів.</w:t>
      </w:r>
    </w:p>
    <w:p>
      <w:pPr>
        <w:pStyle w:val="Compact"/>
        <w:numPr>
          <w:numId w:val="1002"/>
          <w:ilvl w:val="0"/>
        </w:numPr>
      </w:pPr>
      <w:r>
        <w:t xml:space="preserve">Ознайомлення з прикладним програмним забезпеченням (наприклад, ANSYS, SolidWorks Simulation, Abaqus).</w:t>
      </w:r>
    </w:p>
    <w:p>
      <w:pPr>
        <w:pStyle w:val="Compact"/>
        <w:numPr>
          <w:numId w:val="1002"/>
          <w:ilvl w:val="0"/>
        </w:numPr>
      </w:pPr>
      <w:r>
        <w:t xml:space="preserve">Участь у демонстраційних випробуваннях або перегляд результатів досліджень, проведених на стендах Інституту.</w:t>
      </w:r>
    </w:p>
    <w:p>
      <w:pPr>
        <w:pStyle w:val="Compact"/>
        <w:numPr>
          <w:numId w:val="1002"/>
          <w:ilvl w:val="0"/>
        </w:numPr>
      </w:pPr>
      <w:r>
        <w:t xml:space="preserve">Вивчення методик експериментального моделювання для різних матеріалів (металів, полімерів, композицій тощо).</w:t>
      </w:r>
    </w:p>
    <w:p>
      <w:pPr>
        <w:pStyle w:val="Heading2"/>
      </w:pPr>
      <w:bookmarkStart w:id="23" w:name="X316819ce344aa30ad88bcc1a4fe50c2ab60018f"/>
      <w:r>
        <w:t xml:space="preserve">Тиждень 3. Аналіз доцільності вибраних матеріалів та відповідність нормам Інституту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Визначення вимог до корпусу пристрою з урахуванням умов експлуатації (механічні навантаження, температури, вібрації).</w:t>
      </w:r>
    </w:p>
    <w:p>
      <w:pPr>
        <w:pStyle w:val="Compact"/>
        <w:numPr>
          <w:numId w:val="1003"/>
          <w:ilvl w:val="0"/>
        </w:numPr>
      </w:pPr>
      <w:r>
        <w:t xml:space="preserve">Аналіз можливих конструктивних рішень з позиції міцності, жорсткості, герметичності.</w:t>
      </w:r>
    </w:p>
    <w:p>
      <w:pPr>
        <w:pStyle w:val="Compact"/>
        <w:numPr>
          <w:numId w:val="1003"/>
          <w:ilvl w:val="0"/>
        </w:numPr>
      </w:pPr>
      <w:r>
        <w:t xml:space="preserve">Вибір матеріалів для корпусу: алюміній, полімери або композити.</w:t>
      </w:r>
    </w:p>
    <w:p>
      <w:pPr>
        <w:pStyle w:val="Compact"/>
        <w:numPr>
          <w:numId w:val="1003"/>
          <w:ilvl w:val="0"/>
        </w:numPr>
      </w:pPr>
      <w:r>
        <w:t xml:space="preserve">Перевірка відповідності конструкції нормам та рекомендаціям, що діють в Інституті.</w:t>
      </w:r>
    </w:p>
    <w:p>
      <w:pPr>
        <w:pStyle w:val="Compact"/>
        <w:numPr>
          <w:numId w:val="1003"/>
          <w:ilvl w:val="0"/>
        </w:numPr>
      </w:pPr>
      <w:r>
        <w:t xml:space="preserve">Узгодження етапів розробки з науковим керівником практики.</w:t>
      </w:r>
    </w:p>
    <w:p>
      <w:pPr>
        <w:pStyle w:val="Heading2"/>
      </w:pPr>
      <w:bookmarkStart w:id="24" w:name="тиждень-4.-проєктування-корпусу-пристрою"/>
      <w:r>
        <w:t xml:space="preserve">Тиждень 4. Проєктування корпусу пристрою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Створення 3D-моделі корпусу в SolidWorks.</w:t>
      </w:r>
    </w:p>
    <w:p>
      <w:pPr>
        <w:pStyle w:val="Compact"/>
        <w:numPr>
          <w:numId w:val="1004"/>
          <w:ilvl w:val="0"/>
        </w:numPr>
      </w:pPr>
      <w:r>
        <w:t xml:space="preserve">Формування вимог до конструкції з урахуванням ергономіки, міцності та функціональності.</w:t>
      </w:r>
    </w:p>
    <w:p>
      <w:pPr>
        <w:pStyle w:val="Compact"/>
        <w:numPr>
          <w:numId w:val="1004"/>
          <w:ilvl w:val="0"/>
        </w:numPr>
      </w:pPr>
      <w:r>
        <w:t xml:space="preserve">Підготовка креслень, специфікацій та технічної документації.</w:t>
      </w:r>
    </w:p>
    <w:p>
      <w:pPr>
        <w:pStyle w:val="Compact"/>
        <w:numPr>
          <w:numId w:val="1004"/>
          <w:ilvl w:val="0"/>
        </w:numPr>
      </w:pPr>
      <w:r>
        <w:t xml:space="preserve">Проведення попередньої оцінки придатності конструкції до виробництва.</w:t>
      </w:r>
    </w:p>
    <w:p>
      <w:pPr>
        <w:pStyle w:val="Compact"/>
        <w:numPr>
          <w:numId w:val="1004"/>
          <w:ilvl w:val="0"/>
        </w:numPr>
      </w:pPr>
      <w:r>
        <w:t xml:space="preserve">Підготовка моделі до симуляційного аналізу.</w:t>
      </w:r>
    </w:p>
    <w:p>
      <w:pPr>
        <w:pStyle w:val="Heading2"/>
      </w:pPr>
      <w:bookmarkStart w:id="25" w:name="Xd07c26233da70b8ca36cb1f99683bed28e15850"/>
      <w:r>
        <w:t xml:space="preserve">Тиждень 5. Механічний аналіз та тестування матеріалів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Вивчення фізико-механічних властивостей алюмінію та обраного полімеру (ударна в’язкість, модуль пружності, межа міцності).</w:t>
      </w:r>
    </w:p>
    <w:p>
      <w:pPr>
        <w:pStyle w:val="Compact"/>
        <w:numPr>
          <w:numId w:val="1005"/>
          <w:ilvl w:val="0"/>
        </w:numPr>
      </w:pPr>
      <w:r>
        <w:t xml:space="preserve">Проведення комп’ютерного аналізу міцності (CAE-симуляцій) розробленого корпусу.</w:t>
      </w:r>
    </w:p>
    <w:p>
      <w:pPr>
        <w:pStyle w:val="Compact"/>
        <w:numPr>
          <w:numId w:val="1005"/>
          <w:ilvl w:val="0"/>
        </w:numPr>
      </w:pPr>
      <w:r>
        <w:t xml:space="preserve">Аналіз поведінки корпусу при падінні, вібрації, статичному навантаженні.</w:t>
      </w:r>
    </w:p>
    <w:p>
      <w:pPr>
        <w:pStyle w:val="Compact"/>
        <w:numPr>
          <w:numId w:val="1005"/>
          <w:ilvl w:val="0"/>
        </w:numPr>
      </w:pPr>
      <w:r>
        <w:t xml:space="preserve">Висновки щодо вибору матеріалу та геометрії корпусу з урахуванням практичних вимог.</w:t>
      </w:r>
    </w:p>
    <w:p>
      <w:pPr>
        <w:pStyle w:val="Compact"/>
        <w:numPr>
          <w:numId w:val="1005"/>
          <w:ilvl w:val="0"/>
        </w:numPr>
      </w:pPr>
      <w:r>
        <w:t xml:space="preserve">Підготовка звіту за результатами практики, оформлення додатків (моделі, графіки, симуляції).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2777995a958dced8f16169369ebdbcd3e9ba057"/>
      <w:r>
        <w:t xml:space="preserve">Підсумкові матеріали за результатами практики:</w:t>
      </w:r>
      <w:bookmarkEnd w:id="26"/>
    </w:p>
    <w:p>
      <w:pPr>
        <w:pStyle w:val="Compact"/>
        <w:numPr>
          <w:numId w:val="1006"/>
          <w:ilvl w:val="0"/>
        </w:numPr>
      </w:pPr>
      <w:r>
        <w:t xml:space="preserve">Щоденник проходження практики.</w:t>
      </w:r>
    </w:p>
    <w:p>
      <w:pPr>
        <w:pStyle w:val="Compact"/>
        <w:numPr>
          <w:numId w:val="1006"/>
          <w:ilvl w:val="0"/>
        </w:numPr>
      </w:pPr>
      <w:r>
        <w:t xml:space="preserve">Технічний звіт про результати досліджень і розробки.</w:t>
      </w:r>
    </w:p>
    <w:p>
      <w:pPr>
        <w:pStyle w:val="Compact"/>
        <w:numPr>
          <w:numId w:val="1006"/>
          <w:ilvl w:val="0"/>
        </w:numPr>
      </w:pPr>
      <w:r>
        <w:t xml:space="preserve">3D-модель корпусу пристрою з кресленнями.</w:t>
      </w:r>
    </w:p>
    <w:p>
      <w:pPr>
        <w:pStyle w:val="Compact"/>
        <w:numPr>
          <w:numId w:val="1006"/>
          <w:ilvl w:val="0"/>
        </w:numPr>
      </w:pPr>
      <w:r>
        <w:t xml:space="preserve">Висновки щодо вибору матеріалів і рекомендації щодо подальшого впровадження.</w:t>
      </w:r>
    </w:p>
    <w:p>
      <w:r>
        <w:br w:type="page"/>
      </w:r>
    </w:p>
    <w:p>
      <w:pPr>
        <w:pStyle w:val="Heading1"/>
      </w:pPr>
      <w:bookmarkStart w:id="27" w:name="X5e933d9eaf0b7aedafa1b43dc6333c1952e27ba"/>
      <w:r>
        <w:t xml:space="preserve">Історія створення та розвитку Інституту проблем міцності ім. Г.С. Писаренка</w:t>
      </w:r>
      <w:bookmarkEnd w:id="27"/>
    </w:p>
    <w:p>
      <w:pPr>
        <w:pStyle w:val="FirstParagraph"/>
      </w:pPr>
      <w:r>
        <w:t xml:space="preserve">Інститут проблем міцності АН УРСР був заснований 14 вересня 1966 року за ініціативи академіка Г.С. Писаренка, який став його першим директором. Основа інституту — сектор міцності Інституту проблем матеріалознавства, що спеціалізувався на дослідженні міцності матеріалів в екстремальних умовах: високі й низькі температури, агресивні середовища, радіація, втома та повзучість матеріалів.</w:t>
      </w:r>
    </w:p>
    <w:p>
      <w:pPr>
        <w:pStyle w:val="BodyText"/>
      </w:pPr>
      <w:r>
        <w:t xml:space="preserve">Ще до створення Інституту, у 1950-х роках Г.С. Писаренко сформував потужний науковий колектив, залучивши молодих фахівців, переважно випускників КПІ. У відділі міцності почали активно досліджувати властивості жароміцних і композиційних матеріалів для авіації, космосу та енергетики.</w:t>
      </w:r>
    </w:p>
    <w:p>
      <w:pPr>
        <w:pStyle w:val="BodyText"/>
      </w:pPr>
      <w:r>
        <w:t xml:space="preserve">У 1960-х роках результати досліджень, зокрема в теорії нелінійних коливань і термостійкості, отримали міжнародне визнання, а науковці відділу здобули низку премій. У 1966 році сектор було виведено зі складу Інституту проблем матеріалознавства і перетворено на самостійний Інститут проблем міцності АН УРСР.</w:t>
      </w:r>
    </w:p>
    <w:p>
      <w:pPr>
        <w:pStyle w:val="BodyText"/>
      </w:pPr>
      <w:r>
        <w:t xml:space="preserve">На момент створення Інституту там працювало 185 осіб, включно з одним академіком, двома докторами технічних наук та 24 кандидатами наук. Структура Інституту складалася з низки спеціалізованих наукових відділів, що охоплювали дослідження за високих і низьких температур, повзучості, термовтоми, імпульсних навантажень, звукових методів тощо.</w:t>
      </w:r>
    </w:p>
    <w:p>
      <w:pPr>
        <w:pStyle w:val="BodyText"/>
      </w:pPr>
      <w:r>
        <w:t xml:space="preserve">Інститут став провідним центром фундаментальних і прикладних досліджень у галузі механіки матеріалів і конструкцій. Особлива увага приділялася створенню експериментального обладнання — стендів і установок, здатних імітувати екстремальні умови навантаження (до 3000 К, до 2000 атм, високочастотні цикли, вакуум, радіація тощо).</w:t>
      </w:r>
    </w:p>
    <w:p>
      <w:pPr>
        <w:pStyle w:val="BodyText"/>
      </w:pPr>
      <w:r>
        <w:t xml:space="preserve">У 1969 році створено спеціалізовану вчену раду для захисту докторських і кандидатських дисертацій. Також інститут з 1969 року почав видавати міжнародний журнал «Проблемы прочности» (англ. «Strength of Materials»).</w:t>
      </w:r>
    </w:p>
    <w:p>
      <w:pPr>
        <w:pStyle w:val="BodyText"/>
      </w:pPr>
      <w:r>
        <w:t xml:space="preserve">У 1970–1980-х роках інститут значно розширився — чисельність співробітників разом із СКТБ сягнула 1100 осіб. Створювались нові напрями досліджень, пов’язані з динамічною міцністю, ударними та вібраційними навантаженнями, термонавантаженнями, радіаційною міцністю тощо.</w:t>
      </w:r>
    </w:p>
    <w:p>
      <w:pPr>
        <w:pStyle w:val="BodyText"/>
      </w:pPr>
      <w:r>
        <w:t xml:space="preserve">Окремо слід відзначити роботи з дослідження довговічності жароміцних матеріалів для авіаційної, енергетичної та космічної техніки. Розроблялись критерії граничного стану матеріалів при дії складних навантажень: теплових, вібраційних, циклічних.</w:t>
      </w:r>
    </w:p>
    <w:p>
      <w:pPr>
        <w:pStyle w:val="BodyText"/>
      </w:pPr>
      <w:r>
        <w:t xml:space="preserve">Значну роль в успіхах Інституту відіграла постійна модернізація та розширення експериментальної бази. Створено газодинамічні стенди, вакуумні печі, установки для випробування у корозійних середовищах, пневмопорохові копри, реакторні установки для дослідження під радіацією тощо. Частина обладнання використовувалась також іншими науковими установами.</w:t>
      </w:r>
    </w:p>
    <w:p>
      <w:pPr>
        <w:pStyle w:val="BodyText"/>
      </w:pPr>
      <w:r>
        <w:t xml:space="preserve">Розробки Інституту активно впроваджувались у ракетно-космічну галузь, атомну енергетику, машинобудування, оборонну промисловість. Інститут виконував координаційні функції в республіканських і загальносоюзних програмах підвищення надійності машин та споруд.</w:t>
      </w:r>
    </w:p>
    <w:p>
      <w:pPr>
        <w:pStyle w:val="BodyText"/>
      </w:pPr>
      <w:r>
        <w:t xml:space="preserve">Починаючи з 1970-х років, особлива увага приділялася теоретичному моделюванню процесів руйнування: створено критерії крихкості, моделі зростання втомних тріщин, комп’ютерні експертні системи діагностики. Значну роль відіграв відділ математичного моделювання, який розробив програмне забезпечення для чисельного аналізу конструкцій у складних умовах.</w:t>
      </w:r>
    </w:p>
    <w:p>
      <w:pPr>
        <w:pStyle w:val="BodyText"/>
      </w:pPr>
      <w:r>
        <w:t xml:space="preserve">Унікальним напрямом стало дослідження міцності скляних і керамічних елементів для глибоководної техніки. Розроблено наукові засади для створення глибоководних апаратів зі скла, ситалів і кераміки, придатних для занурення на глибини понад 10 км.</w:t>
      </w:r>
    </w:p>
    <w:p>
      <w:pPr>
        <w:pStyle w:val="BodyText"/>
      </w:pPr>
      <w:r>
        <w:t xml:space="preserve">Інститут постійно взаємодіяв з провідними вченими СРСР і України, зокрема з Б.Є. Патоном, І.М. Францевичем, С.В. Серенсеном, Ю.А. Митропольським та ін. Продуктивна співпраця велась також із конструкторами нової техніки — М.Д. Кузнєцовим, О.К. Антоновим, М.К. Янгелем.</w:t>
      </w:r>
    </w:p>
    <w:p>
      <w:pPr>
        <w:pStyle w:val="BodyText"/>
      </w:pPr>
      <w:r>
        <w:t xml:space="preserve">Інститут відіграв значну роль у розвитку механіки деформівного твердого тіла в Україні. На його базі функціонувала наукова рада при Відділенні механіки НАН України, а його співробітники неодноразово ставали лауреатами державних та академічних премій.</w:t>
      </w:r>
    </w:p>
    <w:p>
      <w:pPr>
        <w:pStyle w:val="BodyText"/>
      </w:pPr>
      <w:r>
        <w:t xml:space="preserve">Ось запропонований розділ</w:t>
      </w:r>
      <w:r>
        <w:t xml:space="preserve"> </w:t>
      </w:r>
      <w:r>
        <w:rPr>
          <w:b/>
        </w:rPr>
        <w:t xml:space="preserve">«Інститут сьогодні»</w:t>
      </w:r>
      <w:r>
        <w:t xml:space="preserve"> </w:t>
      </w:r>
      <w:r>
        <w:t xml:space="preserve">для включення до вашої узагальненої версії:</w:t>
      </w:r>
    </w:p>
    <w:p>
      <w:pPr>
        <w:pStyle w:val="Heading3"/>
      </w:pPr>
      <w:bookmarkStart w:id="28" w:name="інститут-сьогодні"/>
      <w:r>
        <w:t xml:space="preserve">Інститут сьогодні</w:t>
      </w:r>
      <w:bookmarkEnd w:id="28"/>
    </w:p>
    <w:p>
      <w:pPr>
        <w:pStyle w:val="FirstParagraph"/>
      </w:pPr>
      <w:r>
        <w:t xml:space="preserve">Сьогодні Інститут проблем міцності ім. Г.С. Писаренка НАН України залишається провідною науковою установою в галузі механіки деформівного твердого тіла, досліджень міцності матеріалів і конструкцій в екстремальних умовах. Установа поєднує глибокі фундаментальні дослідження з вирішенням прикладних завдань, що мають безпосереднє значення для розвитку авіаційної, космічної, енергетичної, транспортної та оборонної галузей.</w:t>
      </w:r>
    </w:p>
    <w:p>
      <w:pPr>
        <w:pStyle w:val="BodyText"/>
      </w:pPr>
      <w:r>
        <w:t xml:space="preserve">Інститут підтримує широку тематику наукових досліджень, що включає:</w:t>
      </w:r>
    </w:p>
    <w:p>
      <w:pPr>
        <w:pStyle w:val="Compact"/>
        <w:numPr>
          <w:numId w:val="1007"/>
          <w:ilvl w:val="0"/>
        </w:numPr>
      </w:pPr>
      <w:r>
        <w:t xml:space="preserve">міцність і довговічність матеріалів за дії високих, низьких і змінних температур;</w:t>
      </w:r>
    </w:p>
    <w:p>
      <w:pPr>
        <w:pStyle w:val="Compact"/>
        <w:numPr>
          <w:numId w:val="1007"/>
          <w:ilvl w:val="0"/>
        </w:numPr>
      </w:pPr>
      <w:r>
        <w:t xml:space="preserve">повзучість, термо- і втомне руйнування конструкційних матеріалів;</w:t>
      </w:r>
    </w:p>
    <w:p>
      <w:pPr>
        <w:pStyle w:val="Compact"/>
        <w:numPr>
          <w:numId w:val="1007"/>
          <w:ilvl w:val="0"/>
        </w:numPr>
      </w:pPr>
      <w:r>
        <w:t xml:space="preserve">моделювання термонавантажених елементів;</w:t>
      </w:r>
    </w:p>
    <w:p>
      <w:pPr>
        <w:pStyle w:val="Compact"/>
        <w:numPr>
          <w:numId w:val="1007"/>
          <w:ilvl w:val="0"/>
        </w:numPr>
      </w:pPr>
      <w:r>
        <w:t xml:space="preserve">радіаційну міцність матеріалів;</w:t>
      </w:r>
    </w:p>
    <w:p>
      <w:pPr>
        <w:pStyle w:val="Compact"/>
        <w:numPr>
          <w:numId w:val="1007"/>
          <w:ilvl w:val="0"/>
        </w:numPr>
      </w:pPr>
      <w:r>
        <w:t xml:space="preserve">діагностику залишкового ресурсу обладнання енергетичних установок і промислових об’єктів;</w:t>
      </w:r>
    </w:p>
    <w:p>
      <w:pPr>
        <w:pStyle w:val="Compact"/>
        <w:numPr>
          <w:numId w:val="1007"/>
          <w:ilvl w:val="0"/>
        </w:numPr>
      </w:pPr>
      <w:r>
        <w:t xml:space="preserve">застосування методів механіки руйнування для аналізу критичних елементів конструкцій;</w:t>
      </w:r>
    </w:p>
    <w:p>
      <w:pPr>
        <w:pStyle w:val="Compact"/>
        <w:numPr>
          <w:numId w:val="1007"/>
          <w:ilvl w:val="0"/>
        </w:numPr>
      </w:pPr>
      <w:r>
        <w:t xml:space="preserve">математичне моделювання напружено-деформованого стану та створення комп’ютерних експертних систем.</w:t>
      </w:r>
    </w:p>
    <w:p>
      <w:pPr>
        <w:pStyle w:val="FirstParagraph"/>
      </w:pPr>
      <w:r>
        <w:t xml:space="preserve">Серед пріоритетних напрямів – дослідження матеріалів нового покоління, у тому числі наноматеріалів, жароміцних сплавів, композиційних матеріалів з теплозахисними властивостями, високотемпературної кераміки. В умовах сучасних викликів важливими залишаються також завдання підвищення надійності й довговічності об’єктів критичної інфраструктури, зокрема у військових і надзвичайних умовах.</w:t>
      </w:r>
    </w:p>
    <w:p>
      <w:pPr>
        <w:pStyle w:val="BodyText"/>
      </w:pPr>
      <w:r>
        <w:t xml:space="preserve">Інститут активно бере участь у державних та міжнародних науково-технічних програмах, здійснює прикладні дослідження для промисловості, енергетики, оборони та безпеки. Підтримується співпраця з вітчизняними й зарубіжними академічними установами, університетами, виробничими підприємствами.</w:t>
      </w:r>
    </w:p>
    <w:p>
      <w:pPr>
        <w:pStyle w:val="BodyText"/>
      </w:pPr>
      <w:r>
        <w:t xml:space="preserve">Наукова школа, заснована академіком Г.С. Писаренком, продовжує своє існування через учнів, послідовників та нові покоління дослідників. В Інституті функціонує аспірантура, діє спеціалізована вчена рада, публікується авторитетний міжнародний журнал «Проблеми міцності / Strength of Materials», що підтримує обмін науковою інформацією на міжнародному рівні.</w:t>
      </w:r>
    </w:p>
    <w:p>
      <w:pPr>
        <w:pStyle w:val="BodyText"/>
      </w:pPr>
      <w:r>
        <w:t xml:space="preserve">Інститут зберігає статус центру, де поєднуються фундаментальна наука, інженерна творчість і практична спрямованість, і залишається важливою складовою науково-технологічного потенціалу України.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spacing w:before="0" w:after="120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LibreOffice/24.2.5.2$Windows_X86_64 LibreOffice_project/bffef4ea93e59bebbeaf7f431bb02b1a39ee8a59</Application>
  <AppVersion>15.0000</AppVersion>
  <Pages>1</Pages>
  <Words>27</Words>
  <Characters>172</Characters>
  <CharactersWithSpaces>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2025-05-16T05:26:56Z</dcterms:created>
  <dcterms:modified xsi:type="dcterms:W3CDTF">2025-05-16T05:26:56Z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