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8.6614173228347" w:right="-891.2598425196836" w:firstLine="0"/>
        <w:rPr/>
      </w:pPr>
      <w:r w:rsidDel="00000000" w:rsidR="00000000" w:rsidRPr="00000000">
        <w:rPr/>
        <w:drawing>
          <wp:inline distB="114300" distT="114300" distL="114300" distR="114300">
            <wp:extent cx="6538913" cy="625636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62563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Показатель разбиения: процент (кол-во людей), пол, возраст.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Цель: анализ населения по полу и возрасту.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Тип декомпозиции: структурная (по выбранным критериям)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Уровни декомпозиции: пол и возраст.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40" w:lineRule="auto"/>
        <w:ind w:left="144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Пол. Критерии - мужчины и женщины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144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Возраст. Критерии - от 0 до 100+ лет (разбиение по интервалам длиной в 5 лет)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Порядок построения: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1. Сбор данных для пирамиды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2. Разделение данных по возрасту -&gt; на 5-ти летние интервалы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3. Разделение данных по полу -&gt; на мужчин и женщин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4. Визуализация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  <w:u w:val="none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5. Анализ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