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pPr>
    </w:p>
    <w:p>
      <w:pPr>
        <w:ind w:firstLine="0"/>
      </w:pPr>
    </w:p>
    <w:p>
      <w:pPr>
        <w:ind w:firstLine="0"/>
      </w:pPr>
    </w:p>
    <w:p>
      <w:pPr>
        <w:ind w:firstLine="0"/>
      </w:pPr>
    </w:p>
    <w:p>
      <w:pPr>
        <w:pStyle w:val="Title"/>
      </w:pPr>
      <w:r>
        <w:t>EXERGY METASYSTEM CA SISTEM DE SISTEME:</w:t>
      </w:r>
    </w:p>
    <w:p>
      <w:pPr>
        <w:pStyle w:val="Title"/>
      </w:pPr>
      <w:r>
        <w:t>CELE 13 COMPONENTE INSTITUȚIONALE INTERCONECTATE,</w:t>
      </w:r>
    </w:p>
    <w:p>
      <w:pPr>
        <w:pStyle w:val="Title"/>
      </w:pPr>
      <w:r>
        <w:t>17+ CATEGORII TEHNOLOGICE ȘI 16+5 FLUXURI DE VENITURI</w:t>
      </w:r>
    </w:p>
    <w:p>
      <w:pPr>
        <w:pStyle w:val="Title"/>
      </w:pPr>
      <w:r>
        <w:t>O ARHITECTURĂ INTEGRATĂ MULTI-STRAT PENTRU ENERGETICA REGENERATIVĂ TERITORIALĂ</w:t>
      </w:r>
    </w:p>
    <w:p>
      <w:pPr>
        <w:ind w:firstLine="0"/>
      </w:pPr>
    </w:p>
    <w:p>
      <w:pPr>
        <w:pStyle w:val="Author"/>
      </w:pPr>
      <w:r>
        <w:t>Gheorghe Badea, George Naghiu, Andrei Măgureanu</w:t>
      </w:r>
    </w:p>
    <w:p>
      <w:pPr>
        <w:ind w:firstLine="0"/>
      </w:pPr>
    </w:p>
    <w:p>
      <w:pPr>
        <w:ind w:firstLine="0"/>
      </w:pPr>
    </w:p>
    <w:p>
      <w:pPr>
        <w:pStyle w:val="ChapterHeading"/>
      </w:pPr>
      <w:r>
        <w:t>Rezumat</w:t>
      </w:r>
    </w:p>
    <w:p>
      <w:pPr>
        <w:ind w:firstLine="0"/>
      </w:pPr>
    </w:p>
    <w:p>
      <w:pPr/>
      <w:r>
        <w:rPr>
          <w:i/>
        </w:rPr>
        <w:t>Prezenta lucrare analizează arhitectura Exergy Metasystem ca sistem de sisteme — o structură integrată, multi-scalară și regenerativă care orchestrează 13 componente instituționale interconectate, 17+ categorii tehnologice și 16+5 fluxuri de venituri organizate în 5 categorii strategice. Lucrarea argumentează că depășirea barierelor structurale ale energeticii convenționale a localităților nu este posibilă prin optimizarea componentelor individuale, ci exclusiv prin arhitectura sistemică completă care generează proprietăți emergente la fiecare nivel al ierarhiei N0→N6. Sunt analizate cele 4 straturi funcționale ale metasistemului, Aggregatorul Holistic Multi-Vector ca inovație centrală fără precedent în industrie, modelul de business Open-Core cu 16+5 fluxuri de venituri și cele 7 bariere strategice (moat-uri) care asigură protecția competitivă compusă a arhitecturii. Sunt prezentate cele 17+ categorii tehnologice integrate și modul în care fiecare reduce o formă specifică de entropie sistemică. Concluziile propun recunoașterea paradigmei sistemului de sisteme exergetic ca cadru de referință pentru politicile europene de tranziție energetică a teritoriilor, argumentând că impactul cuantificat — 50–80 MtCO₂/an reduse, Financial Holistic Delta ≥30%, Cross-Vector Synergy Gain ≥15% — nu este realizabil prin nicio abordare component-izolat.</w:t>
      </w:r>
    </w:p>
    <w:p>
      <w:pPr>
        <w:ind w:firstLine="0"/>
      </w:pPr>
    </w:p>
    <w:p>
      <w:pPr>
        <w:pStyle w:val="ChapterHeading"/>
        <w:keepNext/>
      </w:pPr>
      <w:r>
        <w:t>1. Introducere: de ce Un Sistem de Sisteme?</w:t>
      </w:r>
    </w:p>
    <w:p>
      <w:pPr>
        <w:ind w:firstLine="0"/>
      </w:pPr>
    </w:p>
    <w:p>
      <w:pPr/>
      <w:r>
        <w:t>Energetica convențională a localităților tratează infrastructura energetică ca pe o colecție de echipamente și instalații, fiecare optimizat individual. Un cazan performant, un panou fotovoltaic, o pompă de căldură — fiecare evaluat în parametrii săi proprii, fără să se considere interacțiunile cu celelalte componente, fără să se calculeze exergia distrusă la interfețele dintre ele, fără să se valorifice fluxurile reziduale pe care le generează.</w:t>
      </w:r>
    </w:p>
    <w:p>
      <w:pPr/>
      <w:r>
        <w:t>Rezultatul acestei abordări este documentat termodinamic: eficiențe exergetice globale de 8–15% în sistemele 1G–3G, distrugerea a 70–90% din exergia primară disponibilă, sărăcie energetică endemică (20–25% din populația europeană), și imposibilitatea de facto a atingerii neutralității climatice teritoriale prin simpla însumare a componentelor individuale.</w:t>
      </w:r>
    </w:p>
    <w:p>
      <w:pPr/>
      <w:r>
        <w:rPr>
          <w:b/>
        </w:rPr>
        <w:t>Teza centrală a lucrării</w:t>
      </w:r>
    </w:p>
    <w:p>
      <w:pPr/>
      <w:r>
        <w:t>Un metasistem fără fundament conceptual și arhitectură sistemică este doar o colecție de proiecte energetice. Exergy Metasystem nu este o colecție de tehnologii — este o doctrină aplicată, un sistem de sisteme în care fiecare nivel de complexitate adaugă proprietăți emergente care fac întregul incomparabil mai puternic decât suma părților. Depășirea barierelor energetice ale localităților necesită această ruptură arhitecturală, nu o optimizare incrementală.</w:t>
      </w:r>
    </w:p>
    <w:p>
      <w:pPr/>
      <w:r>
        <w:t>Conceptul de sistem de sisteme (SoS — System of Systems) a fost formalizat în ingineria sistemelor complexe pentru a descrie entități în care componentele sunt sisteme autonome la rândul lor, dar a căror integrare generează capabilități imposibil de obținut individual. Exemple clasice: rețeaua electrică națională (sisteme de producție + transport + distribuție + consum), Internetul (rețele autonome interconectate), sistemele de sănătate teritoriale (spitale + ambulatorii + urgențe + prevenție).</w:t>
      </w:r>
    </w:p>
    <w:p>
      <w:pPr/>
      <w:r>
        <w:t>Exergy Metasystem aplică această logică în energetica localităților: cele 13 componente instituționale sunt sisteme autonome, funcționale independent, dar a căror integrare prin principii termodinamice, doctrine normative și inteligență artificială generează proprietăți emergente — regenerarea netă, carbon-negativitatea, autonomia teritorială, solidaritatea structurală — imposibile la nivelul oricărei componente individuale.</w:t>
      </w:r>
    </w:p>
    <w:p>
      <w:pPr>
        <w:ind w:firstLine="0"/>
      </w:pPr>
    </w:p>
    <w:p>
      <w:pPr>
        <w:pStyle w:val="SubHeading"/>
        <w:keepNext/>
      </w:pPr>
      <w:r>
        <w:t>1.1 Obiectivele lucrării</w:t>
      </w:r>
    </w:p>
    <w:p>
      <w:pPr>
        <w:ind w:firstLine="0"/>
      </w:pPr>
    </w:p>
    <w:p>
      <w:pPr/>
      <w:r>
        <w:t>Lucrarea de față urmărește patru obiective complementare:</w:t>
      </w:r>
    </w:p>
    <w:p>
      <w:pPr>
        <w:pStyle w:val="ListParagraph"/>
        <w:ind w:left="1" w:hanging="1"/>
      </w:pPr>
      <w:r>
        <w:t>1. Descrierea arhitecturală completă a celor 13 componente instituționale interconectate, organizate pe 4 straturi funcționale, cu identificarea rolului specific și a tipului de entropie redus de fiecare componentă.</w:t>
      </w:r>
    </w:p>
    <w:p>
      <w:pPr>
        <w:pStyle w:val="ListParagraph"/>
        <w:ind w:left="1" w:hanging="1"/>
      </w:pPr>
      <w:r>
        <w:t>2. Analiza sistematică a celor 17+ categorii tehnologice integrate, cu evidențierea modului în care diversificarea portofoliului tehnologic elimină vulnerabilitățile structurale ale sistemelor monotehnologice.</w:t>
      </w:r>
    </w:p>
    <w:p>
      <w:pPr>
        <w:pStyle w:val="ListParagraph"/>
        <w:ind w:left="1" w:hanging="1"/>
      </w:pPr>
      <w:r>
        <w:t>3. Prezentarea modelului de business cu 16+5 fluxuri de venituri în 5 categorii strategice, demonstrând că sustenabilitatea financiară a paradigmei exergetice este funcție directă a integrării sistemice, nu a performanței individuale a componentelor.</w:t>
      </w:r>
    </w:p>
    <w:p>
      <w:pPr>
        <w:pStyle w:val="ListParagraph"/>
        <w:ind w:left="1" w:hanging="1"/>
      </w:pPr>
      <w:r>
        <w:t>4. Formalizarea celor 7 bariere strategice (moat-uri) care transformă complexitatea arhitecturală dintr-o provocare de implementare într-un avantaj competitiv compus și ireproductibil.</w:t>
      </w:r>
    </w:p>
    <w:p>
      <w:pPr>
        <w:ind w:firstLine="0"/>
      </w:pPr>
    </w:p>
    <w:p>
      <w:pPr>
        <w:pStyle w:val="SubHeading"/>
        <w:keepNext/>
      </w:pPr>
      <w:r>
        <w:t>1.2 Metodologie</w:t>
      </w:r>
    </w:p>
    <w:p>
      <w:pPr>
        <w:ind w:firstLine="0"/>
      </w:pPr>
    </w:p>
    <w:p>
      <w:pPr/>
      <w:r>
        <w:t>Analiza se bazează pe: (a) sinteza documentară a corpusului tehnic EnEx Institute (2024–2026), incluzând Fundamentarea Conceptuală V4, Model Spec Exergy Metasystem V3, Model Business Inovator V3, Open-X Framework V2 și Matricea de Coerență V3; (b) cadrul teoretic al ingineriei sistemelor complexe adaptive (Holland, 1998; Kauffman, 1993); (c) analiza exergetică comparativă a generațiilor 1G–7G (Lund et al., 2014; Li &amp; Svendsen, 2012); (d) analiza economică a modelelor Open-Core în ecosisteme tehnologice (Red Hat, GitLab, Elastic — analogii strategice relevante).</w:t>
      </w:r>
    </w:p>
    <w:p>
      <w:pPr>
        <w:ind w:firstLine="0"/>
      </w:pPr>
    </w:p>
    <w:p>
      <w:pPr>
        <w:pStyle w:val="ChapterHeading"/>
        <w:keepNext/>
      </w:pPr>
      <w:r>
        <w:t>2. Cele 13 Componente Instituționale — Arhitectura pe 4 Straturi</w:t>
      </w:r>
    </w:p>
    <w:p>
      <w:pPr>
        <w:ind w:firstLine="0"/>
      </w:pPr>
    </w:p>
    <w:p>
      <w:pPr/>
      <w:r>
        <w:t>Arhitectura Exergy Metasystem integrează 13 componente instituționale interconectate, organizate pe 4 straturi funcționale. Fiecare componentă reduce un tip specific de entropie sistemică — filozofică, organizațională, economică, informațională, socială, termodinamică, digitală sau ecologică — și contribuie la creșterea exergiei colective a ansamblului.</w:t>
      </w:r>
    </w:p>
    <w:p>
      <w:pPr/>
      <w:r>
        <w:t>Metafora biologică este precisă, nu decorativă: Stratul 1 este ADN-ul (programul genetic și regulile de dezvoltare), Stratul 2 este Organismul (corpul viu cu organ și țesuturi), Stratul 3 este Metabolismul (procesele biochimice de conversie), Stratul 4 este Sistemul Nervos și Imunitar (inteligență, adaptare, apărare).</w:t>
      </w:r>
    </w:p>
    <w:p>
      <w:pPr>
        <w:ind w:firstLine="0"/>
      </w:pPr>
    </w:p>
    <w:p>
      <w:pPr>
        <w:pStyle w:val="SubHeading"/>
        <w:keepNext/>
      </w:pPr>
      <w:r>
        <w:t>2.1 Stratul 1 — metastructural (adn-ul metasistemului)</w:t>
      </w:r>
    </w:p>
    <w:p>
      <w:pPr>
        <w:ind w:firstLine="0"/>
      </w:pPr>
    </w:p>
    <w:p>
      <w:pPr/>
      <w:r>
        <w:t>Stratul 1 conține cele 4 componente care definesc ADN-ul metasistemului — paradigma, principiile, guvernanța și ecosistemul deschis. Fără acest strat, celelalte trei sunt colecții de echipamente și servicii fără coerență sistemică.</w:t>
      </w:r>
    </w:p>
    <w:p>
      <w:pPr/>
      <w:r>
        <w:t>Componentele strategice și reducerea entropiei în sistem sunt prezentate în Tabelul 1.</w:t>
      </w:r>
    </w:p>
    <w:p>
      <w:pPr>
        <w:ind w:firstLine="0"/>
      </w:pPr>
    </w:p>
    <w:p>
      <w:pPr>
        <w:pStyle w:val="TableCaption"/>
      </w:pPr>
      <w:r>
        <w:t>Tabel 1. Componentele strategice și reducerea entropiei în sistem</w:t>
      </w:r>
    </w:p>
    <w:tbl>
      <w:tblPr>
        <w:tblStyle w:val="TableGrid"/>
        <w:tblW w:type="auto" w:w="0"/>
        <w:jc w:val="center"/>
        <w:tblLook w:firstColumn="1" w:firstRow="1" w:lastColumn="0" w:lastRow="0" w:noHBand="0" w:noVBand="1" w:val="04A0"/>
      </w:tblPr>
      <w:tblGrid>
        <w:gridCol w:w="2570"/>
        <w:gridCol w:w="2570"/>
        <w:gridCol w:w="2570"/>
      </w:tblGrid>
      <w:tr>
        <w:tc>
          <w:tcPr>
            <w:tcW w:type="dxa" w:w="2570"/>
          </w:tcPr>
          <w:p>
            <w:pPr>
              <w:spacing w:before="0" w:after="0"/>
              <w:ind w:firstLine="0"/>
              <w:jc w:val="left"/>
            </w:pPr>
            <w:r>
              <w:rPr>
                <w:rFonts w:ascii="Times New Roman" w:hAnsi="Times New Roman"/>
                <w:b/>
                <w:sz w:val="22"/>
              </w:rPr>
              <w:t>Componentă</w:t>
            </w:r>
          </w:p>
        </w:tc>
        <w:tc>
          <w:tcPr>
            <w:tcW w:type="dxa" w:w="2570"/>
          </w:tcPr>
          <w:p>
            <w:pPr>
              <w:spacing w:before="0" w:after="0"/>
              <w:ind w:firstLine="0"/>
              <w:jc w:val="left"/>
            </w:pPr>
            <w:r>
              <w:rPr>
                <w:rFonts w:ascii="Times New Roman" w:hAnsi="Times New Roman"/>
                <w:b/>
                <w:sz w:val="22"/>
              </w:rPr>
              <w:t>Rol Strategic</w:t>
            </w:r>
          </w:p>
        </w:tc>
        <w:tc>
          <w:tcPr>
            <w:tcW w:type="dxa" w:w="2570"/>
          </w:tcPr>
          <w:p>
            <w:pPr>
              <w:spacing w:before="0" w:after="0"/>
              <w:ind w:firstLine="0"/>
              <w:jc w:val="left"/>
            </w:pPr>
            <w:r>
              <w:rPr>
                <w:rFonts w:ascii="Times New Roman" w:hAnsi="Times New Roman"/>
                <w:b/>
                <w:sz w:val="22"/>
              </w:rPr>
              <w:t>Entropie Redusă</w:t>
            </w:r>
          </w:p>
        </w:tc>
      </w:tr>
      <w:tr>
        <w:tc>
          <w:tcPr>
            <w:tcW w:type="dxa" w:w="2570"/>
          </w:tcPr>
          <w:p>
            <w:pPr>
              <w:spacing w:before="0" w:after="0"/>
              <w:ind w:firstLine="0"/>
              <w:jc w:val="left"/>
            </w:pPr>
            <w:r>
              <w:rPr>
                <w:rFonts w:ascii="Times New Roman" w:hAnsi="Times New Roman"/>
                <w:sz w:val="22"/>
              </w:rPr>
              <w:t>MS Concept</w:t>
            </w:r>
          </w:p>
        </w:tc>
        <w:tc>
          <w:tcPr>
            <w:tcW w:type="dxa" w:w="2570"/>
          </w:tcPr>
          <w:p>
            <w:pPr>
              <w:spacing w:before="0" w:after="0"/>
              <w:ind w:firstLine="0"/>
              <w:jc w:val="left"/>
            </w:pPr>
            <w:r>
              <w:rPr>
                <w:rFonts w:ascii="Times New Roman" w:hAnsi="Times New Roman"/>
                <w:sz w:val="22"/>
              </w:rPr>
              <w:t>Doctrinar umbrelă — paradigmă, principii, viziune</w:t>
            </w:r>
          </w:p>
        </w:tc>
        <w:tc>
          <w:tcPr>
            <w:tcW w:type="dxa" w:w="2570"/>
          </w:tcPr>
          <w:p>
            <w:pPr>
              <w:spacing w:before="0" w:after="0"/>
              <w:ind w:firstLine="0"/>
              <w:jc w:val="left"/>
            </w:pPr>
            <w:r>
              <w:rPr>
                <w:rFonts w:ascii="Times New Roman" w:hAnsi="Times New Roman"/>
                <w:sz w:val="22"/>
              </w:rPr>
              <w:t>Entropie filozofică (lipsă direcție, paradigmă greșită)</w:t>
            </w:r>
          </w:p>
        </w:tc>
      </w:tr>
      <w:tr>
        <w:tc>
          <w:tcPr>
            <w:tcW w:type="dxa" w:w="2570"/>
          </w:tcPr>
          <w:p>
            <w:pPr>
              <w:spacing w:before="0" w:after="0"/>
              <w:ind w:firstLine="0"/>
              <w:jc w:val="left"/>
            </w:pPr>
            <w:r>
              <w:rPr>
                <w:rFonts w:ascii="Times New Roman" w:hAnsi="Times New Roman"/>
                <w:sz w:val="22"/>
              </w:rPr>
              <w:t>MS Infrastructure</w:t>
            </w:r>
          </w:p>
        </w:tc>
        <w:tc>
          <w:tcPr>
            <w:tcW w:type="dxa" w:w="2570"/>
          </w:tcPr>
          <w:p>
            <w:pPr>
              <w:spacing w:before="0" w:after="0"/>
              <w:ind w:firstLine="0"/>
              <w:jc w:val="left"/>
            </w:pPr>
            <w:r>
              <w:rPr>
                <w:rFonts w:ascii="Times New Roman" w:hAnsi="Times New Roman"/>
                <w:sz w:val="22"/>
              </w:rPr>
              <w:t>Sistem nervos: coordonare, guvernanță, standardizare, scalare pe 6 straturi</w:t>
            </w:r>
          </w:p>
        </w:tc>
        <w:tc>
          <w:tcPr>
            <w:tcW w:type="dxa" w:w="2570"/>
          </w:tcPr>
          <w:p>
            <w:pPr>
              <w:spacing w:before="0" w:after="0"/>
              <w:ind w:firstLine="0"/>
              <w:jc w:val="left"/>
            </w:pPr>
            <w:r>
              <w:rPr>
                <w:rFonts w:ascii="Times New Roman" w:hAnsi="Times New Roman"/>
                <w:sz w:val="22"/>
              </w:rPr>
              <w:t>Entropie organizațională (fragmentare, inconsistență)</w:t>
            </w:r>
          </w:p>
        </w:tc>
      </w:tr>
      <w:tr>
        <w:tc>
          <w:tcPr>
            <w:tcW w:type="dxa" w:w="2570"/>
          </w:tcPr>
          <w:p>
            <w:pPr>
              <w:spacing w:before="0" w:after="0"/>
              <w:ind w:firstLine="0"/>
              <w:jc w:val="left"/>
            </w:pPr>
            <w:r>
              <w:rPr>
                <w:rFonts w:ascii="Times New Roman" w:hAnsi="Times New Roman"/>
                <w:sz w:val="22"/>
              </w:rPr>
              <w:t>Business Model Inovator</w:t>
            </w:r>
          </w:p>
        </w:tc>
        <w:tc>
          <w:tcPr>
            <w:tcW w:type="dxa" w:w="2570"/>
          </w:tcPr>
          <w:p>
            <w:pPr>
              <w:spacing w:before="0" w:after="0"/>
              <w:ind w:firstLine="0"/>
              <w:jc w:val="left"/>
            </w:pPr>
            <w:r>
              <w:rPr>
                <w:rFonts w:ascii="Times New Roman" w:hAnsi="Times New Roman"/>
                <w:sz w:val="22"/>
              </w:rPr>
              <w:t>Metabolismul economic: Open-Core 4 niveluri, 16+5 fluxuri venituri, PBC + EBT</w:t>
            </w:r>
          </w:p>
        </w:tc>
        <w:tc>
          <w:tcPr>
            <w:tcW w:type="dxa" w:w="2570"/>
          </w:tcPr>
          <w:p>
            <w:pPr>
              <w:spacing w:before="0" w:after="0"/>
              <w:ind w:firstLine="0"/>
              <w:jc w:val="left"/>
            </w:pPr>
            <w:r>
              <w:rPr>
                <w:rFonts w:ascii="Times New Roman" w:hAnsi="Times New Roman"/>
                <w:sz w:val="22"/>
              </w:rPr>
              <w:t>Entropie economică (colaps financiar, extractivism)</w:t>
            </w:r>
          </w:p>
        </w:tc>
      </w:tr>
      <w:tr>
        <w:tc>
          <w:tcPr>
            <w:tcW w:type="dxa" w:w="2570"/>
          </w:tcPr>
          <w:p>
            <w:pPr>
              <w:spacing w:before="0" w:after="0"/>
              <w:ind w:firstLine="0"/>
              <w:jc w:val="left"/>
            </w:pPr>
            <w:r>
              <w:rPr>
                <w:rFonts w:ascii="Times New Roman" w:hAnsi="Times New Roman"/>
                <w:sz w:val="22"/>
              </w:rPr>
              <w:t>Open-X Program</w:t>
            </w:r>
          </w:p>
        </w:tc>
        <w:tc>
          <w:tcPr>
            <w:tcW w:type="dxa" w:w="2570"/>
          </w:tcPr>
          <w:p>
            <w:pPr>
              <w:spacing w:before="0" w:after="0"/>
              <w:ind w:firstLine="0"/>
              <w:jc w:val="left"/>
            </w:pPr>
            <w:r>
              <w:rPr>
                <w:rFonts w:ascii="Times New Roman" w:hAnsi="Times New Roman"/>
                <w:sz w:val="22"/>
              </w:rPr>
              <w:t>Sistem imunitar: 12 dimensiuni deschise, adopție globală, licențiere diferențiată</w:t>
            </w:r>
          </w:p>
        </w:tc>
        <w:tc>
          <w:tcPr>
            <w:tcW w:type="dxa" w:w="2570"/>
          </w:tcPr>
          <w:p>
            <w:pPr>
              <w:spacing w:before="0" w:after="0"/>
              <w:ind w:firstLine="0"/>
              <w:jc w:val="left"/>
            </w:pPr>
            <w:r>
              <w:rPr>
                <w:rFonts w:ascii="Times New Roman" w:hAnsi="Times New Roman"/>
                <w:sz w:val="22"/>
              </w:rPr>
              <w:t>Entropie informațională (siloizare, lock-in, neadaptare)</w:t>
            </w:r>
          </w:p>
        </w:tc>
      </w:tr>
    </w:tbl>
    <w:p>
      <w:pPr>
        <w:ind w:firstLine="0"/>
      </w:pPr>
    </w:p>
    <w:p>
      <w:pPr>
        <w:ind w:firstLine="0"/>
      </w:pPr>
    </w:p>
    <w:p>
      <w:pPr>
        <w:pStyle w:val="SubHeading"/>
        <w:keepNext/>
      </w:pPr>
      <w:r>
        <w:t>2.2 Stratul 2 — comunitar (organismul)</w:t>
      </w:r>
    </w:p>
    <w:p>
      <w:pPr>
        <w:ind w:firstLine="0"/>
      </w:pPr>
    </w:p>
    <w:p>
      <w:pPr/>
      <w:r>
        <w:t>Stratul 2 conține cele 3 componente care materializează Comunitatea Energetică Emergentă ca organism viu — infrastructura fizică, modelul social-cooperativist și integrarea teritorială cu sectoarele productive.</w:t>
      </w:r>
    </w:p>
    <w:p>
      <w:pPr/>
      <w:r>
        <w:t>Rolul strategic și entropia componentelor identificate se observă în Tabelul 2.</w:t>
      </w:r>
    </w:p>
    <w:p>
      <w:pPr>
        <w:ind w:firstLine="0"/>
      </w:pPr>
    </w:p>
    <w:p>
      <w:pPr>
        <w:pStyle w:val="TableCaption"/>
      </w:pPr>
      <w:r>
        <w:t>Tabel 2. Rolul strategic și entropia componentelor identificate</w:t>
      </w:r>
    </w:p>
    <w:tbl>
      <w:tblPr>
        <w:tblStyle w:val="TableGrid"/>
        <w:tblW w:type="auto" w:w="0"/>
        <w:jc w:val="center"/>
        <w:tblLook w:firstColumn="1" w:firstRow="1" w:lastColumn="0" w:lastRow="0" w:noHBand="0" w:noVBand="1" w:val="04A0"/>
      </w:tblPr>
      <w:tblGrid>
        <w:gridCol w:w="2570"/>
        <w:gridCol w:w="2570"/>
        <w:gridCol w:w="2570"/>
      </w:tblGrid>
      <w:tr>
        <w:tc>
          <w:tcPr>
            <w:tcW w:type="dxa" w:w="2570"/>
          </w:tcPr>
          <w:p>
            <w:pPr>
              <w:spacing w:before="0" w:after="0"/>
              <w:ind w:firstLine="0"/>
              <w:jc w:val="left"/>
            </w:pPr>
            <w:r>
              <w:rPr>
                <w:rFonts w:ascii="Times New Roman" w:hAnsi="Times New Roman"/>
                <w:b/>
                <w:sz w:val="22"/>
              </w:rPr>
              <w:t>Componentă</w:t>
            </w:r>
          </w:p>
        </w:tc>
        <w:tc>
          <w:tcPr>
            <w:tcW w:type="dxa" w:w="2570"/>
          </w:tcPr>
          <w:p>
            <w:pPr>
              <w:spacing w:before="0" w:after="0"/>
              <w:ind w:firstLine="0"/>
              <w:jc w:val="left"/>
            </w:pPr>
            <w:r>
              <w:rPr>
                <w:rFonts w:ascii="Times New Roman" w:hAnsi="Times New Roman"/>
                <w:b/>
                <w:sz w:val="22"/>
              </w:rPr>
              <w:t>Rol Strategic</w:t>
            </w:r>
          </w:p>
        </w:tc>
        <w:tc>
          <w:tcPr>
            <w:tcW w:type="dxa" w:w="2570"/>
          </w:tcPr>
          <w:p>
            <w:pPr>
              <w:spacing w:before="0" w:after="0"/>
              <w:ind w:firstLine="0"/>
              <w:jc w:val="left"/>
            </w:pPr>
            <w:r>
              <w:rPr>
                <w:rFonts w:ascii="Times New Roman" w:hAnsi="Times New Roman"/>
                <w:b/>
                <w:sz w:val="22"/>
              </w:rPr>
              <w:t>Entropie Redusă</w:t>
            </w:r>
          </w:p>
        </w:tc>
      </w:tr>
      <w:tr>
        <w:tc>
          <w:tcPr>
            <w:tcW w:type="dxa" w:w="2570"/>
          </w:tcPr>
          <w:p>
            <w:pPr>
              <w:spacing w:before="0" w:after="0"/>
              <w:ind w:firstLine="0"/>
              <w:jc w:val="left"/>
            </w:pPr>
            <w:r>
              <w:rPr>
                <w:rFonts w:ascii="Times New Roman" w:hAnsi="Times New Roman"/>
                <w:sz w:val="22"/>
              </w:rPr>
              <w:t>Community Concept</w:t>
            </w:r>
          </w:p>
        </w:tc>
        <w:tc>
          <w:tcPr>
            <w:tcW w:type="dxa" w:w="2570"/>
          </w:tcPr>
          <w:p>
            <w:pPr>
              <w:spacing w:before="0" w:after="0"/>
              <w:ind w:firstLine="0"/>
              <w:jc w:val="left"/>
            </w:pPr>
            <w:r>
              <w:rPr>
                <w:rFonts w:ascii="Times New Roman" w:hAnsi="Times New Roman"/>
                <w:sz w:val="22"/>
              </w:rPr>
              <w:t>Conceptual-comunitar: producție, guvernanță, solidaritate, tokenizare, 14 sub-componente</w:t>
            </w:r>
          </w:p>
        </w:tc>
        <w:tc>
          <w:tcPr>
            <w:tcW w:type="dxa" w:w="2570"/>
          </w:tcPr>
          <w:p>
            <w:pPr>
              <w:spacing w:before="0" w:after="0"/>
              <w:ind w:firstLine="0"/>
              <w:jc w:val="left"/>
            </w:pPr>
            <w:r>
              <w:rPr>
                <w:rFonts w:ascii="Times New Roman" w:hAnsi="Times New Roman"/>
                <w:sz w:val="22"/>
              </w:rPr>
              <w:t>Entropie socială (fragmentare, sărăcie energetică, pasivitate civică)</w:t>
            </w:r>
          </w:p>
        </w:tc>
      </w:tr>
      <w:tr>
        <w:tc>
          <w:tcPr>
            <w:tcW w:type="dxa" w:w="2570"/>
          </w:tcPr>
          <w:p>
            <w:pPr>
              <w:spacing w:before="0" w:after="0"/>
              <w:ind w:firstLine="0"/>
              <w:jc w:val="left"/>
            </w:pPr>
            <w:r>
              <w:rPr>
                <w:rFonts w:ascii="Times New Roman" w:hAnsi="Times New Roman"/>
                <w:sz w:val="22"/>
              </w:rPr>
              <w:t>Community Infrastructure</w:t>
            </w:r>
          </w:p>
        </w:tc>
        <w:tc>
          <w:tcPr>
            <w:tcW w:type="dxa" w:w="2570"/>
          </w:tcPr>
          <w:p>
            <w:pPr>
              <w:spacing w:before="0" w:after="0"/>
              <w:ind w:firstLine="0"/>
              <w:jc w:val="left"/>
            </w:pPr>
            <w:r>
              <w:rPr>
                <w:rFonts w:ascii="Times New Roman" w:hAnsi="Times New Roman"/>
                <w:sz w:val="22"/>
              </w:rPr>
              <w:t>Tehnic-operațional: ierarhie Box→HUB→MG→Grid, 17+ tehnologii, cascadă, Waste-to-X</w:t>
            </w:r>
          </w:p>
        </w:tc>
        <w:tc>
          <w:tcPr>
            <w:tcW w:type="dxa" w:w="2570"/>
          </w:tcPr>
          <w:p>
            <w:pPr>
              <w:spacing w:before="0" w:after="0"/>
              <w:ind w:firstLine="0"/>
              <w:jc w:val="left"/>
            </w:pPr>
            <w:r>
              <w:rPr>
                <w:rFonts w:ascii="Times New Roman" w:hAnsi="Times New Roman"/>
                <w:sz w:val="22"/>
              </w:rPr>
              <w:t>Entropie termodinamică (distrugere exergie, inefficiență)</w:t>
            </w:r>
          </w:p>
        </w:tc>
      </w:tr>
      <w:tr>
        <w:tc>
          <w:tcPr>
            <w:tcW w:type="dxa" w:w="2570"/>
          </w:tcPr>
          <w:p>
            <w:pPr>
              <w:spacing w:before="0" w:after="0"/>
              <w:ind w:firstLine="0"/>
              <w:jc w:val="left"/>
            </w:pPr>
            <w:r>
              <w:rPr>
                <w:rFonts w:ascii="Times New Roman" w:hAnsi="Times New Roman"/>
                <w:sz w:val="22"/>
              </w:rPr>
              <w:t>Nexus Integration</w:t>
            </w:r>
          </w:p>
        </w:tc>
        <w:tc>
          <w:tcPr>
            <w:tcW w:type="dxa" w:w="2570"/>
          </w:tcPr>
          <w:p>
            <w:pPr>
              <w:spacing w:before="0" w:after="0"/>
              <w:ind w:firstLine="0"/>
              <w:jc w:val="left"/>
            </w:pPr>
            <w:r>
              <w:rPr>
                <w:rFonts w:ascii="Times New Roman" w:hAnsi="Times New Roman"/>
                <w:sz w:val="22"/>
              </w:rPr>
              <w:t>Teritorial: simbioze cu 5 sectoare (Farm, Industry, Digital, Commerce, Mobility)</w:t>
            </w:r>
          </w:p>
        </w:tc>
        <w:tc>
          <w:tcPr>
            <w:tcW w:type="dxa" w:w="2570"/>
          </w:tcPr>
          <w:p>
            <w:pPr>
              <w:spacing w:before="0" w:after="0"/>
              <w:ind w:firstLine="0"/>
              <w:jc w:val="left"/>
            </w:pPr>
            <w:r>
              <w:rPr>
                <w:rFonts w:ascii="Times New Roman" w:hAnsi="Times New Roman"/>
                <w:sz w:val="22"/>
              </w:rPr>
              <w:t>Entropie teritorială (resurse neutilizate, sectoare izolate)</w:t>
            </w:r>
          </w:p>
        </w:tc>
      </w:tr>
    </w:tbl>
    <w:p>
      <w:pPr>
        <w:ind w:firstLine="0"/>
      </w:pPr>
    </w:p>
    <w:p>
      <w:pPr>
        <w:ind w:firstLine="0"/>
      </w:pPr>
    </w:p>
    <w:p>
      <w:pPr>
        <w:pStyle w:val="SubHeading"/>
        <w:keepNext/>
      </w:pPr>
      <w:r>
        <w:t>2.3 Stratul 3 — tehnologic și conversie</w:t>
      </w:r>
    </w:p>
    <w:p>
      <w:pPr>
        <w:ind w:firstLine="0"/>
      </w:pPr>
    </w:p>
    <w:p>
      <w:pPr/>
      <w:r>
        <w:t>Stratul 3 conține cele 3 componente specializate de conversie care materializează circularitatea completă și carbon-negativitatea — SynTech (energia și căldura), ReCarbon (sechestrarea carbonului) și ReFuel (combustibilii regenerativi).</w:t>
      </w:r>
    </w:p>
    <w:p>
      <w:pPr/>
      <w:r>
        <w:t>Analiza entropică a componentelor strategice principale este detaliată în Tabelul 3.</w:t>
      </w:r>
    </w:p>
    <w:p>
      <w:pPr>
        <w:ind w:firstLine="0"/>
      </w:pPr>
    </w:p>
    <w:p>
      <w:pPr>
        <w:pStyle w:val="TableCaption"/>
      </w:pPr>
      <w:r>
        <w:t>Tabel 3. Analiza entropică a componentelor strategice principale</w:t>
      </w:r>
    </w:p>
    <w:tbl>
      <w:tblPr>
        <w:tblStyle w:val="TableGrid"/>
        <w:tblW w:type="auto" w:w="0"/>
        <w:jc w:val="center"/>
        <w:tblLook w:firstColumn="1" w:firstRow="1" w:lastColumn="0" w:lastRow="0" w:noHBand="0" w:noVBand="1" w:val="04A0"/>
      </w:tblPr>
      <w:tblGrid>
        <w:gridCol w:w="2570"/>
        <w:gridCol w:w="2570"/>
        <w:gridCol w:w="2570"/>
      </w:tblGrid>
      <w:tr>
        <w:tc>
          <w:tcPr>
            <w:tcW w:type="dxa" w:w="2570"/>
          </w:tcPr>
          <w:p>
            <w:pPr>
              <w:spacing w:before="0" w:after="0"/>
              <w:ind w:firstLine="0"/>
              <w:jc w:val="left"/>
            </w:pPr>
            <w:r>
              <w:rPr>
                <w:rFonts w:ascii="Times New Roman" w:hAnsi="Times New Roman"/>
                <w:b/>
                <w:sz w:val="22"/>
              </w:rPr>
              <w:t>Componentă</w:t>
            </w:r>
          </w:p>
        </w:tc>
        <w:tc>
          <w:tcPr>
            <w:tcW w:type="dxa" w:w="2570"/>
          </w:tcPr>
          <w:p>
            <w:pPr>
              <w:spacing w:before="0" w:after="0"/>
              <w:ind w:firstLine="0"/>
              <w:jc w:val="left"/>
            </w:pPr>
            <w:r>
              <w:rPr>
                <w:rFonts w:ascii="Times New Roman" w:hAnsi="Times New Roman"/>
                <w:b/>
                <w:sz w:val="22"/>
              </w:rPr>
              <w:t>Rol Strategic</w:t>
            </w:r>
          </w:p>
        </w:tc>
        <w:tc>
          <w:tcPr>
            <w:tcW w:type="dxa" w:w="2570"/>
          </w:tcPr>
          <w:p>
            <w:pPr>
              <w:spacing w:before="0" w:after="0"/>
              <w:ind w:firstLine="0"/>
              <w:jc w:val="left"/>
            </w:pPr>
            <w:r>
              <w:rPr>
                <w:rFonts w:ascii="Times New Roman" w:hAnsi="Times New Roman"/>
                <w:b/>
                <w:sz w:val="22"/>
              </w:rPr>
              <w:t>Entropie Redusă</w:t>
            </w:r>
          </w:p>
        </w:tc>
      </w:tr>
      <w:tr>
        <w:tc>
          <w:tcPr>
            <w:tcW w:type="dxa" w:w="2570"/>
          </w:tcPr>
          <w:p>
            <w:pPr>
              <w:spacing w:before="0" w:after="0"/>
              <w:ind w:firstLine="0"/>
              <w:jc w:val="left"/>
            </w:pPr>
            <w:r>
              <w:rPr>
                <w:rFonts w:ascii="Times New Roman" w:hAnsi="Times New Roman"/>
                <w:sz w:val="22"/>
              </w:rPr>
              <w:t>Exergy SynTech</w:t>
            </w:r>
          </w:p>
        </w:tc>
        <w:tc>
          <w:tcPr>
            <w:tcW w:type="dxa" w:w="2570"/>
          </w:tcPr>
          <w:p>
            <w:pPr>
              <w:spacing w:before="0" w:after="0"/>
              <w:ind w:firstLine="0"/>
              <w:jc w:val="left"/>
            </w:pPr>
            <w:r>
              <w:rPr>
                <w:rFonts w:ascii="Times New Roman" w:hAnsi="Times New Roman"/>
                <w:sz w:val="22"/>
              </w:rPr>
              <w:t>CHP prin gazeificare biomasă/SRF: electricitate + căldură 80–90°C + biochar 5–15% masic</w:t>
            </w:r>
          </w:p>
        </w:tc>
        <w:tc>
          <w:tcPr>
            <w:tcW w:type="dxa" w:w="2570"/>
          </w:tcPr>
          <w:p>
            <w:pPr>
              <w:spacing w:before="0" w:after="0"/>
              <w:ind w:firstLine="0"/>
              <w:jc w:val="left"/>
            </w:pPr>
            <w:r>
              <w:rPr>
                <w:rFonts w:ascii="Times New Roman" w:hAnsi="Times New Roman"/>
                <w:sz w:val="22"/>
              </w:rPr>
              <w:t>Entropie energetică (combustibil fosilizat, mono-vector)</w:t>
            </w:r>
          </w:p>
        </w:tc>
      </w:tr>
      <w:tr>
        <w:tc>
          <w:tcPr>
            <w:tcW w:type="dxa" w:w="2570"/>
          </w:tcPr>
          <w:p>
            <w:pPr>
              <w:spacing w:before="0" w:after="0"/>
              <w:ind w:firstLine="0"/>
              <w:jc w:val="left"/>
            </w:pPr>
            <w:r>
              <w:rPr>
                <w:rFonts w:ascii="Times New Roman" w:hAnsi="Times New Roman"/>
                <w:sz w:val="22"/>
              </w:rPr>
              <w:t>Exergy ReCarbon</w:t>
            </w:r>
          </w:p>
        </w:tc>
        <w:tc>
          <w:tcPr>
            <w:tcW w:type="dxa" w:w="2570"/>
          </w:tcPr>
          <w:p>
            <w:pPr>
              <w:spacing w:before="0" w:after="0"/>
              <w:ind w:firstLine="0"/>
              <w:jc w:val="left"/>
            </w:pPr>
            <w:r>
              <w:rPr>
                <w:rFonts w:ascii="Times New Roman" w:hAnsi="Times New Roman"/>
                <w:sz w:val="22"/>
              </w:rPr>
              <w:t>Stabilizare și valorificare biochar: sechestrare &gt;70% C stabil, EBC v10.5, BCR credits</w:t>
            </w:r>
          </w:p>
        </w:tc>
        <w:tc>
          <w:tcPr>
            <w:tcW w:type="dxa" w:w="2570"/>
          </w:tcPr>
          <w:p>
            <w:pPr>
              <w:spacing w:before="0" w:after="0"/>
              <w:ind w:firstLine="0"/>
              <w:jc w:val="left"/>
            </w:pPr>
            <w:r>
              <w:rPr>
                <w:rFonts w:ascii="Times New Roman" w:hAnsi="Times New Roman"/>
                <w:sz w:val="22"/>
              </w:rPr>
              <w:t>Entropie carbonică (emisii nete pozitive, climă destabilizată)</w:t>
            </w:r>
          </w:p>
        </w:tc>
      </w:tr>
      <w:tr>
        <w:tc>
          <w:tcPr>
            <w:tcW w:type="dxa" w:w="2570"/>
          </w:tcPr>
          <w:p>
            <w:pPr>
              <w:spacing w:before="0" w:after="0"/>
              <w:ind w:firstLine="0"/>
              <w:jc w:val="left"/>
            </w:pPr>
            <w:r>
              <w:rPr>
                <w:rFonts w:ascii="Times New Roman" w:hAnsi="Times New Roman"/>
                <w:sz w:val="22"/>
              </w:rPr>
              <w:t>Exergy ReFuel Station</w:t>
            </w:r>
          </w:p>
        </w:tc>
        <w:tc>
          <w:tcPr>
            <w:tcW w:type="dxa" w:w="2570"/>
          </w:tcPr>
          <w:p>
            <w:pPr>
              <w:spacing w:before="0" w:after="0"/>
              <w:ind w:firstLine="0"/>
              <w:jc w:val="left"/>
            </w:pPr>
            <w:r>
              <w:rPr>
                <w:rFonts w:ascii="Times New Roman" w:hAnsi="Times New Roman"/>
                <w:sz w:val="22"/>
              </w:rPr>
              <w:t>Producție SRF EN 15359 din deșeuri municipale + H₂ din electroliză</w:t>
            </w:r>
          </w:p>
        </w:tc>
        <w:tc>
          <w:tcPr>
            <w:tcW w:type="dxa" w:w="2570"/>
          </w:tcPr>
          <w:p>
            <w:pPr>
              <w:spacing w:before="0" w:after="0"/>
              <w:ind w:firstLine="0"/>
              <w:jc w:val="left"/>
            </w:pPr>
            <w:r>
              <w:rPr>
                <w:rFonts w:ascii="Times New Roman" w:hAnsi="Times New Roman"/>
                <w:sz w:val="22"/>
              </w:rPr>
              <w:t>Entropie materială (deșeuri = pierdere de resursă exergetică)</w:t>
            </w:r>
          </w:p>
        </w:tc>
      </w:tr>
    </w:tbl>
    <w:p>
      <w:pPr>
        <w:ind w:firstLine="0"/>
      </w:pPr>
    </w:p>
    <w:p>
      <w:pPr>
        <w:ind w:firstLine="0"/>
      </w:pPr>
    </w:p>
    <w:p>
      <w:pPr>
        <w:pStyle w:val="SubHeading"/>
        <w:keepNext/>
      </w:pPr>
      <w:r>
        <w:t>2.4 Stratul 4 — digital și instituțional</w:t>
      </w:r>
    </w:p>
    <w:p>
      <w:pPr>
        <w:ind w:firstLine="0"/>
      </w:pPr>
    </w:p>
    <w:p>
      <w:pPr/>
      <w:r>
        <w:t>Stratul 4 conține cele 3 componente care asigură inteligența distribuită, transparența totală și scalarea globală a metasistemului — DigitAll System, EnEx Institute și Open-X Program.</w:t>
      </w:r>
    </w:p>
    <w:p>
      <w:pPr/>
      <w:r>
        <w:t>Evaluarea strategică și entropică a componentelor cheie este ilustrată în Tabelul 4.</w:t>
      </w:r>
    </w:p>
    <w:p>
      <w:pPr>
        <w:ind w:firstLine="0"/>
      </w:pPr>
    </w:p>
    <w:p>
      <w:pPr>
        <w:pStyle w:val="TableCaption"/>
      </w:pPr>
      <w:r>
        <w:t>Tabel 4. Evaluarea strategică și entropică a componentelor cheie</w:t>
      </w:r>
    </w:p>
    <w:tbl>
      <w:tblPr>
        <w:tblStyle w:val="TableGrid"/>
        <w:tblW w:type="auto" w:w="0"/>
        <w:jc w:val="center"/>
        <w:tblLook w:firstColumn="1" w:firstRow="1" w:lastColumn="0" w:lastRow="0" w:noHBand="0" w:noVBand="1" w:val="04A0"/>
      </w:tblPr>
      <w:tblGrid>
        <w:gridCol w:w="2570"/>
        <w:gridCol w:w="2570"/>
        <w:gridCol w:w="2570"/>
      </w:tblGrid>
      <w:tr>
        <w:tc>
          <w:tcPr>
            <w:tcW w:type="dxa" w:w="2570"/>
          </w:tcPr>
          <w:p>
            <w:pPr>
              <w:spacing w:before="0" w:after="0"/>
              <w:ind w:firstLine="0"/>
              <w:jc w:val="left"/>
            </w:pPr>
            <w:r>
              <w:rPr>
                <w:rFonts w:ascii="Times New Roman" w:hAnsi="Times New Roman"/>
                <w:b/>
                <w:sz w:val="22"/>
              </w:rPr>
              <w:t>Componentă</w:t>
            </w:r>
          </w:p>
        </w:tc>
        <w:tc>
          <w:tcPr>
            <w:tcW w:type="dxa" w:w="2570"/>
          </w:tcPr>
          <w:p>
            <w:pPr>
              <w:spacing w:before="0" w:after="0"/>
              <w:ind w:firstLine="0"/>
              <w:jc w:val="left"/>
            </w:pPr>
            <w:r>
              <w:rPr>
                <w:rFonts w:ascii="Times New Roman" w:hAnsi="Times New Roman"/>
                <w:b/>
                <w:sz w:val="22"/>
              </w:rPr>
              <w:t>Rol Strategic</w:t>
            </w:r>
          </w:p>
        </w:tc>
        <w:tc>
          <w:tcPr>
            <w:tcW w:type="dxa" w:w="2570"/>
          </w:tcPr>
          <w:p>
            <w:pPr>
              <w:spacing w:before="0" w:after="0"/>
              <w:ind w:firstLine="0"/>
              <w:jc w:val="left"/>
            </w:pPr>
            <w:r>
              <w:rPr>
                <w:rFonts w:ascii="Times New Roman" w:hAnsi="Times New Roman"/>
                <w:b/>
                <w:sz w:val="22"/>
              </w:rPr>
              <w:t>Entropie Redusă</w:t>
            </w:r>
          </w:p>
        </w:tc>
      </w:tr>
      <w:tr>
        <w:tc>
          <w:tcPr>
            <w:tcW w:type="dxa" w:w="2570"/>
          </w:tcPr>
          <w:p>
            <w:pPr>
              <w:spacing w:before="0" w:after="0"/>
              <w:ind w:firstLine="0"/>
              <w:jc w:val="left"/>
            </w:pPr>
            <w:r>
              <w:rPr>
                <w:rFonts w:ascii="Times New Roman" w:hAnsi="Times New Roman"/>
                <w:sz w:val="22"/>
              </w:rPr>
              <w:t>Exergy DigitAll System</w:t>
            </w:r>
          </w:p>
        </w:tc>
        <w:tc>
          <w:tcPr>
            <w:tcW w:type="dxa" w:w="2570"/>
          </w:tcPr>
          <w:p>
            <w:pPr>
              <w:spacing w:before="0" w:after="0"/>
              <w:ind w:firstLine="0"/>
              <w:jc w:val="left"/>
            </w:pPr>
            <w:r>
              <w:rPr>
                <w:rFonts w:ascii="Times New Roman" w:hAnsi="Times New Roman"/>
                <w:sz w:val="22"/>
              </w:rPr>
              <w:t>Ecosistem neuronal: 5+1 platforme, 28 module, 7 straturi, 7 principii P-OPT, HGA, ScenarioLab, AssetHealth</w:t>
            </w:r>
          </w:p>
        </w:tc>
        <w:tc>
          <w:tcPr>
            <w:tcW w:type="dxa" w:w="2570"/>
          </w:tcPr>
          <w:p>
            <w:pPr>
              <w:spacing w:before="0" w:after="0"/>
              <w:ind w:firstLine="0"/>
              <w:jc w:val="left"/>
            </w:pPr>
            <w:r>
              <w:rPr>
                <w:rFonts w:ascii="Times New Roman" w:hAnsi="Times New Roman"/>
                <w:sz w:val="22"/>
              </w:rPr>
              <w:t>Entropie digitală (optimizare oarbă, decizii suboptimale)</w:t>
            </w:r>
          </w:p>
        </w:tc>
      </w:tr>
      <w:tr>
        <w:tc>
          <w:tcPr>
            <w:tcW w:type="dxa" w:w="2570"/>
          </w:tcPr>
          <w:p>
            <w:pPr>
              <w:spacing w:before="0" w:after="0"/>
              <w:ind w:firstLine="0"/>
              <w:jc w:val="left"/>
            </w:pPr>
            <w:r>
              <w:rPr>
                <w:rFonts w:ascii="Times New Roman" w:hAnsi="Times New Roman"/>
                <w:sz w:val="22"/>
              </w:rPr>
              <w:t>EnEx Institute</w:t>
            </w:r>
          </w:p>
        </w:tc>
        <w:tc>
          <w:tcPr>
            <w:tcW w:type="dxa" w:w="2570"/>
          </w:tcPr>
          <w:p>
            <w:pPr>
              <w:spacing w:before="0" w:after="0"/>
              <w:ind w:firstLine="0"/>
              <w:jc w:val="left"/>
            </w:pPr>
            <w:r>
              <w:rPr>
                <w:rFonts w:ascii="Times New Roman" w:hAnsi="Times New Roman"/>
                <w:sz w:val="22"/>
              </w:rPr>
              <w:t>Formare, cercetare, standardizare: cursuri, certificări, publicații, advocacy politici</w:t>
            </w:r>
          </w:p>
        </w:tc>
        <w:tc>
          <w:tcPr>
            <w:tcW w:type="dxa" w:w="2570"/>
          </w:tcPr>
          <w:p>
            <w:pPr>
              <w:spacing w:before="0" w:after="0"/>
              <w:ind w:firstLine="0"/>
              <w:jc w:val="left"/>
            </w:pPr>
            <w:r>
              <w:rPr>
                <w:rFonts w:ascii="Times New Roman" w:hAnsi="Times New Roman"/>
                <w:sz w:val="22"/>
              </w:rPr>
              <w:t>Entropie cognitivă (lipsă de cunoaștere, implementare deficitară)</w:t>
            </w:r>
          </w:p>
        </w:tc>
      </w:tr>
      <w:tr>
        <w:tc>
          <w:tcPr>
            <w:tcW w:type="dxa" w:w="2570"/>
          </w:tcPr>
          <w:p>
            <w:pPr>
              <w:spacing w:before="0" w:after="0"/>
              <w:ind w:firstLine="0"/>
              <w:jc w:val="left"/>
            </w:pPr>
            <w:r>
              <w:rPr>
                <w:rFonts w:ascii="Times New Roman" w:hAnsi="Times New Roman"/>
                <w:sz w:val="22"/>
              </w:rPr>
              <w:t>EquityX Program</w:t>
            </w:r>
          </w:p>
        </w:tc>
        <w:tc>
          <w:tcPr>
            <w:tcW w:type="dxa" w:w="2570"/>
          </w:tcPr>
          <w:p>
            <w:pPr>
              <w:spacing w:before="0" w:after="0"/>
              <w:ind w:firstLine="0"/>
              <w:jc w:val="left"/>
            </w:pPr>
            <w:r>
              <w:rPr>
                <w:rFonts w:ascii="Times New Roman" w:hAnsi="Times New Roman"/>
                <w:sz w:val="22"/>
              </w:rPr>
              <w:t>7 tipologii parteneriate: TEC, FIN, ESCO, PUB, ACA, COM, NEX; community benefit ≥10%</w:t>
            </w:r>
          </w:p>
        </w:tc>
        <w:tc>
          <w:tcPr>
            <w:tcW w:type="dxa" w:w="2570"/>
          </w:tcPr>
          <w:p>
            <w:pPr>
              <w:spacing w:before="0" w:after="0"/>
              <w:ind w:firstLine="0"/>
              <w:jc w:val="left"/>
            </w:pPr>
            <w:r>
              <w:rPr>
                <w:rFonts w:ascii="Times New Roman" w:hAnsi="Times New Roman"/>
                <w:sz w:val="22"/>
              </w:rPr>
              <w:t>Entropie ecosistemică (parteneriate extractive, valoare nepartajată)</w:t>
            </w:r>
          </w:p>
        </w:tc>
      </w:tr>
    </w:tbl>
    <w:p>
      <w:pPr>
        <w:ind w:firstLine="0"/>
      </w:pPr>
    </w:p>
    <w:p>
      <w:pPr/>
      <w:r>
        <w:rPr>
          <w:b/>
        </w:rPr>
        <w:t>Concluzie Arhitecturală</w:t>
      </w:r>
    </w:p>
    <w:p>
      <w:pPr/>
      <w:r>
        <w:t>Cele 13 componente nu sunt module opționale. Sunt elementele unui sistem de sisteme în care absența oricărei componente produce deficiențe sistemice care nu pot fi compensate de celelalte. Un metasistem fără ReCarbon nu este carbon-negativ. Fără DigitAll System nu poate optimiza multi-vector. Fără Community Concept nu are legitimitate cooperatistă. Fără Open-X Program nu poate scala global. Completitudinea arhitecturală nu este un lux — este condiția necesară a proprietăților emergente.</w:t>
      </w:r>
    </w:p>
    <w:p>
      <w:pPr>
        <w:ind w:firstLine="0"/>
      </w:pPr>
    </w:p>
    <w:p>
      <w:pPr>
        <w:pStyle w:val="ChapterHeading"/>
        <w:keepNext/>
      </w:pPr>
      <w:r>
        <w:t>3. Cele 17+ Categorii Tehnologice — Portofoliul Complet</w:t>
      </w:r>
    </w:p>
    <w:p>
      <w:pPr>
        <w:ind w:firstLine="0"/>
      </w:pPr>
    </w:p>
    <w:p>
      <w:pPr/>
      <w:r>
        <w:t>Arhitectura tehnologică a Exergy Metasystem integrează minimum 17 categorii de surse și tehnologii, organizate în 9 tipologii de Box (Exergy Box — EB) și 12 categorii de Module (Exergy Module — M). Diversificarea portofoliului nu este o filozofie de risc — este o necesitate termodinamică: fiecare categorie tehnologică acoperă un nivel specific al cascadei N1→N4 și asigură redundanță pe vectorii energetici simultani.</w:t>
      </w:r>
    </w:p>
    <w:p>
      <w:pPr>
        <w:ind w:firstLine="0"/>
      </w:pPr>
    </w:p>
    <w:p>
      <w:pPr>
        <w:pStyle w:val="SubHeading"/>
        <w:keepNext/>
      </w:pPr>
      <w:r>
        <w:t>3.1 Categoriile tehnologice pe vectori energetici</w:t>
      </w:r>
    </w:p>
    <w:p>
      <w:pPr>
        <w:ind w:firstLine="0"/>
      </w:pPr>
    </w:p>
    <w:p>
      <w:pPr/>
      <w:r>
        <w:t>Specificațiile tehnologice și modurile de operare sunt prezentate în Tabelul 5.</w:t>
      </w:r>
    </w:p>
    <w:p>
      <w:pPr>
        <w:ind w:firstLine="0"/>
      </w:pPr>
    </w:p>
    <w:p>
      <w:pPr>
        <w:pStyle w:val="TableCaption"/>
      </w:pPr>
      <w:r>
        <w:t>Tabel 5. Specificațiile tehnologice și modurile de operare</w:t>
      </w:r>
    </w:p>
    <w:tbl>
      <w:tblPr>
        <w:tblStyle w:val="TableGrid"/>
        <w:tblW w:type="auto" w:w="0"/>
        <w:jc w:val="center"/>
        <w:tblLook w:firstColumn="1" w:firstRow="1" w:lastColumn="0" w:lastRow="0" w:noHBand="0" w:noVBand="1" w:val="04A0"/>
      </w:tblPr>
      <w:tblGrid>
        <w:gridCol w:w="2570"/>
        <w:gridCol w:w="2570"/>
        <w:gridCol w:w="2570"/>
      </w:tblGrid>
      <w:tr>
        <w:tc>
          <w:tcPr>
            <w:tcW w:type="dxa" w:w="2570"/>
          </w:tcPr>
          <w:p>
            <w:pPr>
              <w:spacing w:before="0" w:after="0"/>
              <w:ind w:firstLine="0"/>
              <w:jc w:val="left"/>
            </w:pPr>
            <w:r>
              <w:rPr>
                <w:rFonts w:ascii="Times New Roman" w:hAnsi="Times New Roman"/>
                <w:b/>
                <w:sz w:val="22"/>
              </w:rPr>
              <w:t>Categorie Tehnologică</w:t>
            </w:r>
          </w:p>
        </w:tc>
        <w:tc>
          <w:tcPr>
            <w:tcW w:type="dxa" w:w="2570"/>
          </w:tcPr>
          <w:p>
            <w:pPr>
              <w:spacing w:before="0" w:after="0"/>
              <w:ind w:firstLine="0"/>
              <w:jc w:val="left"/>
            </w:pPr>
            <w:r>
              <w:rPr>
                <w:rFonts w:ascii="Times New Roman" w:hAnsi="Times New Roman"/>
                <w:b/>
                <w:sz w:val="22"/>
              </w:rPr>
              <w:t>Specificații Cheie</w:t>
            </w:r>
          </w:p>
        </w:tc>
        <w:tc>
          <w:tcPr>
            <w:tcW w:type="dxa" w:w="2570"/>
          </w:tcPr>
          <w:p>
            <w:pPr>
              <w:spacing w:before="0" w:after="0"/>
              <w:ind w:firstLine="0"/>
              <w:jc w:val="left"/>
            </w:pPr>
            <w:r>
              <w:rPr>
                <w:rFonts w:ascii="Times New Roman" w:hAnsi="Times New Roman"/>
                <w:b/>
                <w:sz w:val="22"/>
              </w:rPr>
              <w:t>Vector Primar | Mod Operare</w:t>
            </w:r>
          </w:p>
        </w:tc>
      </w:tr>
      <w:tr>
        <w:tc>
          <w:tcPr>
            <w:tcW w:type="dxa" w:w="2570"/>
          </w:tcPr>
          <w:p>
            <w:pPr>
              <w:spacing w:before="0" w:after="0"/>
              <w:ind w:firstLine="0"/>
              <w:jc w:val="left"/>
            </w:pPr>
            <w:r>
              <w:rPr>
                <w:rFonts w:ascii="Times New Roman" w:hAnsi="Times New Roman"/>
                <w:sz w:val="22"/>
              </w:rPr>
              <w:t>Pompe de căldură aer/sol/apă</w:t>
            </w:r>
          </w:p>
        </w:tc>
        <w:tc>
          <w:tcPr>
            <w:tcW w:type="dxa" w:w="2570"/>
          </w:tcPr>
          <w:p>
            <w:pPr>
              <w:spacing w:before="0" w:after="0"/>
              <w:ind w:firstLine="0"/>
              <w:jc w:val="left"/>
            </w:pPr>
            <w:r>
              <w:rPr>
                <w:rFonts w:ascii="Times New Roman" w:hAnsi="Times New Roman"/>
                <w:sz w:val="22"/>
              </w:rPr>
              <w:t>COP ≥4, agent R290/CO₂, upgrade exergetic N4→N2</w:t>
            </w:r>
          </w:p>
        </w:tc>
        <w:tc>
          <w:tcPr>
            <w:tcW w:type="dxa" w:w="2570"/>
          </w:tcPr>
          <w:p>
            <w:pPr>
              <w:spacing w:before="0" w:after="0"/>
              <w:ind w:firstLine="0"/>
              <w:jc w:val="left"/>
            </w:pPr>
            <w:r>
              <w:rPr>
                <w:rFonts w:ascii="Times New Roman" w:hAnsi="Times New Roman"/>
                <w:sz w:val="22"/>
              </w:rPr>
              <w:t>N2–N3 Termic | Bidirecțional</w:t>
            </w:r>
          </w:p>
        </w:tc>
      </w:tr>
      <w:tr>
        <w:tc>
          <w:tcPr>
            <w:tcW w:type="dxa" w:w="2570"/>
          </w:tcPr>
          <w:p>
            <w:pPr>
              <w:spacing w:before="0" w:after="0"/>
              <w:ind w:firstLine="0"/>
              <w:jc w:val="left"/>
            </w:pPr>
            <w:r>
              <w:rPr>
                <w:rFonts w:ascii="Times New Roman" w:hAnsi="Times New Roman"/>
                <w:sz w:val="22"/>
              </w:rPr>
              <w:t>Fotovoltaic multi-tip</w:t>
            </w:r>
          </w:p>
        </w:tc>
        <w:tc>
          <w:tcPr>
            <w:tcW w:type="dxa" w:w="2570"/>
          </w:tcPr>
          <w:p>
            <w:pPr>
              <w:spacing w:before="0" w:after="0"/>
              <w:ind w:firstLine="0"/>
              <w:jc w:val="left"/>
            </w:pPr>
            <w:r>
              <w:rPr>
                <w:rFonts w:ascii="Times New Roman" w:hAnsi="Times New Roman"/>
                <w:sz w:val="22"/>
              </w:rPr>
              <w:t>Monocristalin, PVT hibrid, fațadă BIPV, integrat acoperiș</w:t>
            </w:r>
          </w:p>
        </w:tc>
        <w:tc>
          <w:tcPr>
            <w:tcW w:type="dxa" w:w="2570"/>
          </w:tcPr>
          <w:p>
            <w:pPr>
              <w:spacing w:before="0" w:after="0"/>
              <w:ind w:firstLine="0"/>
              <w:jc w:val="left"/>
            </w:pPr>
            <w:r>
              <w:rPr>
                <w:rFonts w:ascii="Times New Roman" w:hAnsi="Times New Roman"/>
                <w:sz w:val="22"/>
              </w:rPr>
              <w:t>Electric | η_PVT ≥18%</w:t>
            </w:r>
          </w:p>
        </w:tc>
      </w:tr>
      <w:tr>
        <w:tc>
          <w:tcPr>
            <w:tcW w:type="dxa" w:w="2570"/>
          </w:tcPr>
          <w:p>
            <w:pPr>
              <w:spacing w:before="0" w:after="0"/>
              <w:ind w:firstLine="0"/>
              <w:jc w:val="left"/>
            </w:pPr>
            <w:r>
              <w:rPr>
                <w:rFonts w:ascii="Times New Roman" w:hAnsi="Times New Roman"/>
                <w:sz w:val="22"/>
              </w:rPr>
              <w:t>Solar termal</w:t>
            </w:r>
          </w:p>
        </w:tc>
        <w:tc>
          <w:tcPr>
            <w:tcW w:type="dxa" w:w="2570"/>
          </w:tcPr>
          <w:p>
            <w:pPr>
              <w:spacing w:before="0" w:after="0"/>
              <w:ind w:firstLine="0"/>
              <w:jc w:val="left"/>
            </w:pPr>
            <w:r>
              <w:rPr>
                <w:rFonts w:ascii="Times New Roman" w:hAnsi="Times New Roman"/>
                <w:sz w:val="22"/>
              </w:rPr>
              <w:t>Tuburi vidate, colectori plani, integrare cascadă</w:t>
            </w:r>
          </w:p>
        </w:tc>
        <w:tc>
          <w:tcPr>
            <w:tcW w:type="dxa" w:w="2570"/>
          </w:tcPr>
          <w:p>
            <w:pPr>
              <w:spacing w:before="0" w:after="0"/>
              <w:ind w:firstLine="0"/>
              <w:jc w:val="left"/>
            </w:pPr>
            <w:r>
              <w:rPr>
                <w:rFonts w:ascii="Times New Roman" w:hAnsi="Times New Roman"/>
                <w:sz w:val="22"/>
              </w:rPr>
              <w:t>N2–N3 Termic | Sezonier</w:t>
            </w:r>
          </w:p>
        </w:tc>
      </w:tr>
      <w:tr>
        <w:tc>
          <w:tcPr>
            <w:tcW w:type="dxa" w:w="2570"/>
          </w:tcPr>
          <w:p>
            <w:pPr>
              <w:spacing w:before="0" w:after="0"/>
              <w:ind w:firstLine="0"/>
              <w:jc w:val="left"/>
            </w:pPr>
            <w:r>
              <w:rPr>
                <w:rFonts w:ascii="Times New Roman" w:hAnsi="Times New Roman"/>
                <w:sz w:val="22"/>
              </w:rPr>
              <w:t>PVT Hibrid (Photo-Voltaic-Thermal)</w:t>
            </w:r>
          </w:p>
        </w:tc>
        <w:tc>
          <w:tcPr>
            <w:tcW w:type="dxa" w:w="2570"/>
          </w:tcPr>
          <w:p>
            <w:pPr>
              <w:spacing w:before="0" w:after="0"/>
              <w:ind w:firstLine="0"/>
              <w:jc w:val="left"/>
            </w:pPr>
            <w:r>
              <w:rPr>
                <w:rFonts w:ascii="Times New Roman" w:hAnsi="Times New Roman"/>
                <w:sz w:val="22"/>
              </w:rPr>
              <w:t>Electricitate + căldură simultane, η_total ≥65%</w:t>
            </w:r>
          </w:p>
        </w:tc>
        <w:tc>
          <w:tcPr>
            <w:tcW w:type="dxa" w:w="2570"/>
          </w:tcPr>
          <w:p>
            <w:pPr>
              <w:spacing w:before="0" w:after="0"/>
              <w:ind w:firstLine="0"/>
              <w:jc w:val="left"/>
            </w:pPr>
            <w:r>
              <w:rPr>
                <w:rFonts w:ascii="Times New Roman" w:hAnsi="Times New Roman"/>
                <w:sz w:val="22"/>
              </w:rPr>
              <w:t>Electric + N2 Termic | Dual</w:t>
            </w:r>
          </w:p>
        </w:tc>
      </w:tr>
      <w:tr>
        <w:tc>
          <w:tcPr>
            <w:tcW w:type="dxa" w:w="2570"/>
          </w:tcPr>
          <w:p>
            <w:pPr>
              <w:spacing w:before="0" w:after="0"/>
              <w:ind w:firstLine="0"/>
              <w:jc w:val="left"/>
            </w:pPr>
            <w:r>
              <w:rPr>
                <w:rFonts w:ascii="Times New Roman" w:hAnsi="Times New Roman"/>
                <w:sz w:val="22"/>
              </w:rPr>
              <w:t>Eolian micro și mid-scale</w:t>
            </w:r>
          </w:p>
        </w:tc>
        <w:tc>
          <w:tcPr>
            <w:tcW w:type="dxa" w:w="2570"/>
          </w:tcPr>
          <w:p>
            <w:pPr>
              <w:spacing w:before="0" w:after="0"/>
              <w:ind w:firstLine="0"/>
              <w:jc w:val="left"/>
            </w:pPr>
            <w:r>
              <w:rPr>
                <w:rFonts w:ascii="Times New Roman" w:hAnsi="Times New Roman"/>
                <w:sz w:val="22"/>
              </w:rPr>
              <w:t>Turbine ax orizontal + VAWT ax vertical pe containere</w:t>
            </w:r>
          </w:p>
        </w:tc>
        <w:tc>
          <w:tcPr>
            <w:tcW w:type="dxa" w:w="2570"/>
          </w:tcPr>
          <w:p>
            <w:pPr>
              <w:spacing w:before="0" w:after="0"/>
              <w:ind w:firstLine="0"/>
              <w:jc w:val="left"/>
            </w:pPr>
            <w:r>
              <w:rPr>
                <w:rFonts w:ascii="Times New Roman" w:hAnsi="Times New Roman"/>
                <w:sz w:val="22"/>
              </w:rPr>
              <w:t>Electric | Continuu</w:t>
            </w:r>
          </w:p>
        </w:tc>
      </w:tr>
      <w:tr>
        <w:tc>
          <w:tcPr>
            <w:tcW w:type="dxa" w:w="2570"/>
          </w:tcPr>
          <w:p>
            <w:pPr>
              <w:spacing w:before="0" w:after="0"/>
              <w:ind w:firstLine="0"/>
              <w:jc w:val="left"/>
            </w:pPr>
            <w:r>
              <w:rPr>
                <w:rFonts w:ascii="Times New Roman" w:hAnsi="Times New Roman"/>
                <w:sz w:val="22"/>
              </w:rPr>
              <w:t>Micro-hidro</w:t>
            </w:r>
          </w:p>
        </w:tc>
        <w:tc>
          <w:tcPr>
            <w:tcW w:type="dxa" w:w="2570"/>
          </w:tcPr>
          <w:p>
            <w:pPr>
              <w:spacing w:before="0" w:after="0"/>
              <w:ind w:firstLine="0"/>
              <w:jc w:val="left"/>
            </w:pPr>
            <w:r>
              <w:rPr>
                <w:rFonts w:ascii="Times New Roman" w:hAnsi="Times New Roman"/>
                <w:sz w:val="22"/>
              </w:rPr>
              <w:t>Râuri, canale, recuperare presiune rețea apă</w:t>
            </w:r>
          </w:p>
        </w:tc>
        <w:tc>
          <w:tcPr>
            <w:tcW w:type="dxa" w:w="2570"/>
          </w:tcPr>
          <w:p>
            <w:pPr>
              <w:spacing w:before="0" w:after="0"/>
              <w:ind w:firstLine="0"/>
              <w:jc w:val="left"/>
            </w:pPr>
            <w:r>
              <w:rPr>
                <w:rFonts w:ascii="Times New Roman" w:hAnsi="Times New Roman"/>
                <w:sz w:val="22"/>
              </w:rPr>
              <w:t>Electric | Stabil, dispatchabil</w:t>
            </w:r>
          </w:p>
        </w:tc>
      </w:tr>
      <w:tr>
        <w:tc>
          <w:tcPr>
            <w:tcW w:type="dxa" w:w="2570"/>
          </w:tcPr>
          <w:p>
            <w:pPr>
              <w:spacing w:before="0" w:after="0"/>
              <w:ind w:firstLine="0"/>
              <w:jc w:val="left"/>
            </w:pPr>
            <w:r>
              <w:rPr>
                <w:rFonts w:ascii="Times New Roman" w:hAnsi="Times New Roman"/>
                <w:sz w:val="22"/>
              </w:rPr>
              <w:t>SynTech CHP gazeificare</w:t>
            </w:r>
          </w:p>
        </w:tc>
        <w:tc>
          <w:tcPr>
            <w:tcW w:type="dxa" w:w="2570"/>
          </w:tcPr>
          <w:p>
            <w:pPr>
              <w:spacing w:before="0" w:after="0"/>
              <w:ind w:firstLine="0"/>
              <w:jc w:val="left"/>
            </w:pPr>
            <w:r>
              <w:rPr>
                <w:rFonts w:ascii="Times New Roman" w:hAnsi="Times New Roman"/>
                <w:sz w:val="22"/>
              </w:rPr>
              <w:t>50–500 kWe, η_CHP 75–85%, syngas 700–1000°C</w:t>
            </w:r>
          </w:p>
        </w:tc>
        <w:tc>
          <w:tcPr>
            <w:tcW w:type="dxa" w:w="2570"/>
          </w:tcPr>
          <w:p>
            <w:pPr>
              <w:spacing w:before="0" w:after="0"/>
              <w:ind w:firstLine="0"/>
              <w:jc w:val="left"/>
            </w:pPr>
            <w:r>
              <w:rPr>
                <w:rFonts w:ascii="Times New Roman" w:hAnsi="Times New Roman"/>
                <w:sz w:val="22"/>
              </w:rPr>
              <w:t>Electric + N1 Termic + Biochar</w:t>
            </w:r>
          </w:p>
        </w:tc>
      </w:tr>
      <w:tr>
        <w:tc>
          <w:tcPr>
            <w:tcW w:type="dxa" w:w="2570"/>
          </w:tcPr>
          <w:p>
            <w:pPr>
              <w:spacing w:before="0" w:after="0"/>
              <w:ind w:firstLine="0"/>
              <w:jc w:val="left"/>
            </w:pPr>
            <w:r>
              <w:rPr>
                <w:rFonts w:ascii="Times New Roman" w:hAnsi="Times New Roman"/>
                <w:sz w:val="22"/>
              </w:rPr>
              <w:t>Pile combustibil H₂</w:t>
            </w:r>
          </w:p>
        </w:tc>
        <w:tc>
          <w:tcPr>
            <w:tcW w:type="dxa" w:w="2570"/>
          </w:tcPr>
          <w:p>
            <w:pPr>
              <w:spacing w:before="0" w:after="0"/>
              <w:ind w:firstLine="0"/>
              <w:jc w:val="left"/>
            </w:pPr>
            <w:r>
              <w:rPr>
                <w:rFonts w:ascii="Times New Roman" w:hAnsi="Times New Roman"/>
                <w:sz w:val="22"/>
              </w:rPr>
              <w:t>SOFC/PEMFC, η_ex ≥60%, CHP integrat</w:t>
            </w:r>
          </w:p>
        </w:tc>
        <w:tc>
          <w:tcPr>
            <w:tcW w:type="dxa" w:w="2570"/>
          </w:tcPr>
          <w:p>
            <w:pPr>
              <w:spacing w:before="0" w:after="0"/>
              <w:ind w:firstLine="0"/>
              <w:jc w:val="left"/>
            </w:pPr>
            <w:r>
              <w:rPr>
                <w:rFonts w:ascii="Times New Roman" w:hAnsi="Times New Roman"/>
                <w:sz w:val="22"/>
              </w:rPr>
              <w:t>Electric + N2 Termic | Dispatchabil</w:t>
            </w:r>
          </w:p>
        </w:tc>
      </w:tr>
      <w:tr>
        <w:tc>
          <w:tcPr>
            <w:tcW w:type="dxa" w:w="2570"/>
          </w:tcPr>
          <w:p>
            <w:pPr>
              <w:spacing w:before="0" w:after="0"/>
              <w:ind w:firstLine="0"/>
              <w:jc w:val="left"/>
            </w:pPr>
            <w:r>
              <w:rPr>
                <w:rFonts w:ascii="Times New Roman" w:hAnsi="Times New Roman"/>
                <w:sz w:val="22"/>
              </w:rPr>
              <w:t>ORC (Organic Rankine Cycle)</w:t>
            </w:r>
          </w:p>
        </w:tc>
        <w:tc>
          <w:tcPr>
            <w:tcW w:type="dxa" w:w="2570"/>
          </w:tcPr>
          <w:p>
            <w:pPr>
              <w:spacing w:before="0" w:after="0"/>
              <w:ind w:firstLine="0"/>
              <w:jc w:val="left"/>
            </w:pPr>
            <w:r>
              <w:rPr>
                <w:rFonts w:ascii="Times New Roman" w:hAnsi="Times New Roman"/>
                <w:sz w:val="22"/>
              </w:rPr>
              <w:t>Recuperare căldură reziduală industrială/CHP, 5–500 kWe</w:t>
            </w:r>
          </w:p>
        </w:tc>
        <w:tc>
          <w:tcPr>
            <w:tcW w:type="dxa" w:w="2570"/>
          </w:tcPr>
          <w:p>
            <w:pPr>
              <w:spacing w:before="0" w:after="0"/>
              <w:ind w:firstLine="0"/>
              <w:jc w:val="left"/>
            </w:pPr>
            <w:r>
              <w:rPr>
                <w:rFonts w:ascii="Times New Roman" w:hAnsi="Times New Roman"/>
                <w:sz w:val="22"/>
              </w:rPr>
              <w:t>Electric din căldură reziduală</w:t>
            </w:r>
          </w:p>
        </w:tc>
      </w:tr>
      <w:tr>
        <w:tc>
          <w:tcPr>
            <w:tcW w:type="dxa" w:w="2570"/>
          </w:tcPr>
          <w:p>
            <w:pPr>
              <w:spacing w:before="0" w:after="0"/>
              <w:ind w:firstLine="0"/>
              <w:jc w:val="left"/>
            </w:pPr>
            <w:r>
              <w:rPr>
                <w:rFonts w:ascii="Times New Roman" w:hAnsi="Times New Roman"/>
                <w:sz w:val="22"/>
              </w:rPr>
              <w:t>Stocare termică PCM/apă stratificată</w:t>
            </w:r>
          </w:p>
        </w:tc>
        <w:tc>
          <w:tcPr>
            <w:tcW w:type="dxa" w:w="2570"/>
          </w:tcPr>
          <w:p>
            <w:pPr>
              <w:spacing w:before="0" w:after="0"/>
              <w:ind w:firstLine="0"/>
              <w:jc w:val="left"/>
            </w:pPr>
            <w:r>
              <w:rPr>
                <w:rFonts w:ascii="Times New Roman" w:hAnsi="Times New Roman"/>
                <w:sz w:val="22"/>
              </w:rPr>
              <w:t>Tampon multi-nivel N1–N3, 5–500 MWh_t</w:t>
            </w:r>
          </w:p>
        </w:tc>
        <w:tc>
          <w:tcPr>
            <w:tcW w:type="dxa" w:w="2570"/>
          </w:tcPr>
          <w:p>
            <w:pPr>
              <w:spacing w:before="0" w:after="0"/>
              <w:ind w:firstLine="0"/>
              <w:jc w:val="left"/>
            </w:pPr>
            <w:r>
              <w:rPr>
                <w:rFonts w:ascii="Times New Roman" w:hAnsi="Times New Roman"/>
                <w:sz w:val="22"/>
              </w:rPr>
              <w:t>Stocare termic | Sezonier</w:t>
            </w:r>
          </w:p>
        </w:tc>
      </w:tr>
      <w:tr>
        <w:tc>
          <w:tcPr>
            <w:tcW w:type="dxa" w:w="2570"/>
          </w:tcPr>
          <w:p>
            <w:pPr>
              <w:spacing w:before="0" w:after="0"/>
              <w:ind w:firstLine="0"/>
              <w:jc w:val="left"/>
            </w:pPr>
            <w:r>
              <w:rPr>
                <w:rFonts w:ascii="Times New Roman" w:hAnsi="Times New Roman"/>
                <w:sz w:val="22"/>
              </w:rPr>
              <w:t>Baterii Li-ion LFP / flux vanadiu</w:t>
            </w:r>
          </w:p>
        </w:tc>
        <w:tc>
          <w:tcPr>
            <w:tcW w:type="dxa" w:w="2570"/>
          </w:tcPr>
          <w:p>
            <w:pPr>
              <w:spacing w:before="0" w:after="0"/>
              <w:ind w:firstLine="0"/>
              <w:jc w:val="left"/>
            </w:pPr>
            <w:r>
              <w:rPr>
                <w:rFonts w:ascii="Times New Roman" w:hAnsi="Times New Roman"/>
                <w:sz w:val="22"/>
              </w:rPr>
              <w:t>Stocare electrică, 5–2.000 kWh, cicluri ≥4.000</w:t>
            </w:r>
          </w:p>
        </w:tc>
        <w:tc>
          <w:tcPr>
            <w:tcW w:type="dxa" w:w="2570"/>
          </w:tcPr>
          <w:p>
            <w:pPr>
              <w:spacing w:before="0" w:after="0"/>
              <w:ind w:firstLine="0"/>
              <w:jc w:val="left"/>
            </w:pPr>
            <w:r>
              <w:rPr>
                <w:rFonts w:ascii="Times New Roman" w:hAnsi="Times New Roman"/>
                <w:sz w:val="22"/>
              </w:rPr>
              <w:t>Stocare electric | Zilnic</w:t>
            </w:r>
          </w:p>
        </w:tc>
      </w:tr>
      <w:tr>
        <w:tc>
          <w:tcPr>
            <w:tcW w:type="dxa" w:w="2570"/>
          </w:tcPr>
          <w:p>
            <w:pPr>
              <w:spacing w:before="0" w:after="0"/>
              <w:ind w:firstLine="0"/>
              <w:jc w:val="left"/>
            </w:pPr>
            <w:r>
              <w:rPr>
                <w:rFonts w:ascii="Times New Roman" w:hAnsi="Times New Roman"/>
                <w:sz w:val="22"/>
              </w:rPr>
              <w:t>Electroliză PEM/alcalină</w:t>
            </w:r>
          </w:p>
        </w:tc>
        <w:tc>
          <w:tcPr>
            <w:tcW w:type="dxa" w:w="2570"/>
          </w:tcPr>
          <w:p>
            <w:pPr>
              <w:spacing w:before="0" w:after="0"/>
              <w:ind w:firstLine="0"/>
              <w:jc w:val="left"/>
            </w:pPr>
            <w:r>
              <w:rPr>
                <w:rFonts w:ascii="Times New Roman" w:hAnsi="Times New Roman"/>
                <w:sz w:val="22"/>
              </w:rPr>
              <w:t>Producție H₂ verde din surplus FV/eolian</w:t>
            </w:r>
          </w:p>
        </w:tc>
        <w:tc>
          <w:tcPr>
            <w:tcW w:type="dxa" w:w="2570"/>
          </w:tcPr>
          <w:p>
            <w:pPr>
              <w:spacing w:before="0" w:after="0"/>
              <w:ind w:firstLine="0"/>
              <w:jc w:val="left"/>
            </w:pPr>
            <w:r>
              <w:rPr>
                <w:rFonts w:ascii="Times New Roman" w:hAnsi="Times New Roman"/>
                <w:sz w:val="22"/>
              </w:rPr>
              <w:t>H₂ producție | Sezonier</w:t>
            </w:r>
          </w:p>
        </w:tc>
      </w:tr>
      <w:tr>
        <w:tc>
          <w:tcPr>
            <w:tcW w:type="dxa" w:w="2570"/>
          </w:tcPr>
          <w:p>
            <w:pPr>
              <w:spacing w:before="0" w:after="0"/>
              <w:ind w:firstLine="0"/>
              <w:jc w:val="left"/>
            </w:pPr>
            <w:r>
              <w:rPr>
                <w:rFonts w:ascii="Times New Roman" w:hAnsi="Times New Roman"/>
                <w:sz w:val="22"/>
              </w:rPr>
              <w:t>V2G bidirecțional ISO 15118</w:t>
            </w:r>
          </w:p>
        </w:tc>
        <w:tc>
          <w:tcPr>
            <w:tcW w:type="dxa" w:w="2570"/>
          </w:tcPr>
          <w:p>
            <w:pPr>
              <w:spacing w:before="0" w:after="0"/>
              <w:ind w:firstLine="0"/>
              <w:jc w:val="left"/>
            </w:pPr>
            <w:r>
              <w:rPr>
                <w:rFonts w:ascii="Times New Roman" w:hAnsi="Times New Roman"/>
                <w:sz w:val="22"/>
              </w:rPr>
              <w:t>Vehicule electrice ca stocaj distribuit, 3,7–22 kW/vehicul</w:t>
            </w:r>
          </w:p>
        </w:tc>
        <w:tc>
          <w:tcPr>
            <w:tcW w:type="dxa" w:w="2570"/>
          </w:tcPr>
          <w:p>
            <w:pPr>
              <w:spacing w:before="0" w:after="0"/>
              <w:ind w:firstLine="0"/>
              <w:jc w:val="left"/>
            </w:pPr>
            <w:r>
              <w:rPr>
                <w:rFonts w:ascii="Times New Roman" w:hAnsi="Times New Roman"/>
                <w:sz w:val="22"/>
              </w:rPr>
              <w:t>Flexibilitate electric | Zilnic</w:t>
            </w:r>
          </w:p>
        </w:tc>
      </w:tr>
      <w:tr>
        <w:tc>
          <w:tcPr>
            <w:tcW w:type="dxa" w:w="2570"/>
          </w:tcPr>
          <w:p>
            <w:pPr>
              <w:spacing w:before="0" w:after="0"/>
              <w:ind w:firstLine="0"/>
              <w:jc w:val="left"/>
            </w:pPr>
            <w:r>
              <w:rPr>
                <w:rFonts w:ascii="Times New Roman" w:hAnsi="Times New Roman"/>
                <w:sz w:val="22"/>
              </w:rPr>
              <w:t>Stocare gravitațională</w:t>
            </w:r>
          </w:p>
        </w:tc>
        <w:tc>
          <w:tcPr>
            <w:tcW w:type="dxa" w:w="2570"/>
          </w:tcPr>
          <w:p>
            <w:pPr>
              <w:spacing w:before="0" w:after="0"/>
              <w:ind w:firstLine="0"/>
              <w:jc w:val="left"/>
            </w:pPr>
            <w:r>
              <w:rPr>
                <w:rFonts w:ascii="Times New Roman" w:hAnsi="Times New Roman"/>
                <w:sz w:val="22"/>
              </w:rPr>
              <w:t>Apă/mase ridicate/coborâte, 0-100% round-trip, LCOS scăzut</w:t>
            </w:r>
          </w:p>
        </w:tc>
        <w:tc>
          <w:tcPr>
            <w:tcW w:type="dxa" w:w="2570"/>
          </w:tcPr>
          <w:p>
            <w:pPr>
              <w:spacing w:before="0" w:after="0"/>
              <w:ind w:firstLine="0"/>
              <w:jc w:val="left"/>
            </w:pPr>
            <w:r>
              <w:rPr>
                <w:rFonts w:ascii="Times New Roman" w:hAnsi="Times New Roman"/>
                <w:sz w:val="22"/>
              </w:rPr>
              <w:t>Stocare electric/mecanic | Sezonier</w:t>
            </w:r>
          </w:p>
        </w:tc>
      </w:tr>
      <w:tr>
        <w:tc>
          <w:tcPr>
            <w:tcW w:type="dxa" w:w="2570"/>
          </w:tcPr>
          <w:p>
            <w:pPr>
              <w:spacing w:before="0" w:after="0"/>
              <w:ind w:firstLine="0"/>
              <w:jc w:val="left"/>
            </w:pPr>
            <w:r>
              <w:rPr>
                <w:rFonts w:ascii="Times New Roman" w:hAnsi="Times New Roman"/>
                <w:sz w:val="22"/>
              </w:rPr>
              <w:t>Sport-to-Energy (S2E)</w:t>
            </w:r>
          </w:p>
        </w:tc>
        <w:tc>
          <w:tcPr>
            <w:tcW w:type="dxa" w:w="2570"/>
          </w:tcPr>
          <w:p>
            <w:pPr>
              <w:spacing w:before="0" w:after="0"/>
              <w:ind w:firstLine="0"/>
              <w:jc w:val="left"/>
            </w:pPr>
            <w:r>
              <w:rPr>
                <w:rFonts w:ascii="Times New Roman" w:hAnsi="Times New Roman"/>
                <w:sz w:val="22"/>
              </w:rPr>
              <w:t>Piezoelectric + electromagnetic, echipamente fitness exterior</w:t>
            </w:r>
          </w:p>
        </w:tc>
        <w:tc>
          <w:tcPr>
            <w:tcW w:type="dxa" w:w="2570"/>
          </w:tcPr>
          <w:p>
            <w:pPr>
              <w:spacing w:before="0" w:after="0"/>
              <w:ind w:firstLine="0"/>
              <w:jc w:val="left"/>
            </w:pPr>
            <w:r>
              <w:rPr>
                <w:rFonts w:ascii="Times New Roman" w:hAnsi="Times New Roman"/>
                <w:sz w:val="22"/>
              </w:rPr>
              <w:t>Electric + Social | Continuu</w:t>
            </w:r>
          </w:p>
        </w:tc>
      </w:tr>
      <w:tr>
        <w:tc>
          <w:tcPr>
            <w:tcW w:type="dxa" w:w="2570"/>
          </w:tcPr>
          <w:p>
            <w:pPr>
              <w:spacing w:before="0" w:after="0"/>
              <w:ind w:firstLine="0"/>
              <w:jc w:val="left"/>
            </w:pPr>
            <w:r>
              <w:rPr>
                <w:rFonts w:ascii="Times New Roman" w:hAnsi="Times New Roman"/>
                <w:sz w:val="22"/>
              </w:rPr>
              <w:t>SymbiotyX Pod</w:t>
            </w:r>
          </w:p>
        </w:tc>
        <w:tc>
          <w:tcPr>
            <w:tcW w:type="dxa" w:w="2570"/>
          </w:tcPr>
          <w:p>
            <w:pPr>
              <w:spacing w:before="0" w:after="0"/>
              <w:ind w:firstLine="0"/>
              <w:jc w:val="left"/>
            </w:pPr>
            <w:r>
              <w:rPr>
                <w:rFonts w:ascii="Times New Roman" w:hAnsi="Times New Roman"/>
                <w:sz w:val="22"/>
              </w:rPr>
              <w:t>Vegetație verticală + PVT fațadă + Copaci Energetici, ~2 kg CO₂/m²/an</w:t>
            </w:r>
          </w:p>
        </w:tc>
        <w:tc>
          <w:tcPr>
            <w:tcW w:type="dxa" w:w="2570"/>
          </w:tcPr>
          <w:p>
            <w:pPr>
              <w:spacing w:before="0" w:after="0"/>
              <w:ind w:firstLine="0"/>
              <w:jc w:val="left"/>
            </w:pPr>
            <w:r>
              <w:rPr>
                <w:rFonts w:ascii="Times New Roman" w:hAnsi="Times New Roman"/>
                <w:sz w:val="22"/>
              </w:rPr>
              <w:t>Carbon + Electric + Termic</w:t>
            </w:r>
          </w:p>
        </w:tc>
      </w:tr>
      <w:tr>
        <w:tc>
          <w:tcPr>
            <w:tcW w:type="dxa" w:w="2570"/>
          </w:tcPr>
          <w:p>
            <w:pPr>
              <w:spacing w:before="0" w:after="0"/>
              <w:ind w:firstLine="0"/>
              <w:jc w:val="left"/>
            </w:pPr>
            <w:r>
              <w:rPr>
                <w:rFonts w:ascii="Times New Roman" w:hAnsi="Times New Roman"/>
                <w:sz w:val="22"/>
              </w:rPr>
              <w:t>ReCarbon (biochar)</w:t>
            </w:r>
          </w:p>
        </w:tc>
        <w:tc>
          <w:tcPr>
            <w:tcW w:type="dxa" w:w="2570"/>
          </w:tcPr>
          <w:p>
            <w:pPr>
              <w:spacing w:before="0" w:after="0"/>
              <w:ind w:firstLine="0"/>
              <w:jc w:val="left"/>
            </w:pPr>
            <w:r>
              <w:rPr>
                <w:rFonts w:ascii="Times New Roman" w:hAnsi="Times New Roman"/>
                <w:sz w:val="22"/>
              </w:rPr>
              <w:t>5–15% masic din gazeificare, C stabil &gt;70%, EBC v10.5</w:t>
            </w:r>
          </w:p>
        </w:tc>
        <w:tc>
          <w:tcPr>
            <w:tcW w:type="dxa" w:w="2570"/>
          </w:tcPr>
          <w:p>
            <w:pPr>
              <w:spacing w:before="0" w:after="0"/>
              <w:ind w:firstLine="0"/>
              <w:jc w:val="left"/>
            </w:pPr>
            <w:r>
              <w:rPr>
                <w:rFonts w:ascii="Times New Roman" w:hAnsi="Times New Roman"/>
                <w:sz w:val="22"/>
              </w:rPr>
              <w:t>Carbon sechestrare | Permanent</w:t>
            </w:r>
          </w:p>
        </w:tc>
      </w:tr>
      <w:tr>
        <w:tc>
          <w:tcPr>
            <w:tcW w:type="dxa" w:w="2570"/>
          </w:tcPr>
          <w:p>
            <w:pPr>
              <w:spacing w:before="0" w:after="0"/>
              <w:ind w:firstLine="0"/>
              <w:jc w:val="left"/>
            </w:pPr>
            <w:r>
              <w:rPr>
                <w:rFonts w:ascii="Times New Roman" w:hAnsi="Times New Roman"/>
                <w:sz w:val="22"/>
              </w:rPr>
              <w:t>ReFuel Station SRF</w:t>
            </w:r>
          </w:p>
        </w:tc>
        <w:tc>
          <w:tcPr>
            <w:tcW w:type="dxa" w:w="2570"/>
          </w:tcPr>
          <w:p>
            <w:pPr>
              <w:spacing w:before="0" w:after="0"/>
              <w:ind w:firstLine="0"/>
              <w:jc w:val="left"/>
            </w:pPr>
            <w:r>
              <w:rPr>
                <w:rFonts w:ascii="Times New Roman" w:hAnsi="Times New Roman"/>
                <w:sz w:val="22"/>
              </w:rPr>
              <w:t>Sortare, uscare, densificare deșeuri → SRF EN 15359 Cl.3+, PCI ≥15 MJ/kg</w:t>
            </w:r>
          </w:p>
        </w:tc>
        <w:tc>
          <w:tcPr>
            <w:tcW w:type="dxa" w:w="2570"/>
          </w:tcPr>
          <w:p>
            <w:pPr>
              <w:spacing w:before="0" w:after="0"/>
              <w:ind w:firstLine="0"/>
              <w:jc w:val="left"/>
            </w:pPr>
            <w:r>
              <w:rPr>
                <w:rFonts w:ascii="Times New Roman" w:hAnsi="Times New Roman"/>
                <w:sz w:val="22"/>
              </w:rPr>
              <w:t>Combustibil regenerativ | Continuu</w:t>
            </w:r>
          </w:p>
        </w:tc>
      </w:tr>
    </w:tbl>
    <w:p>
      <w:pPr>
        <w:ind w:firstLine="0"/>
      </w:pPr>
    </w:p>
    <w:p>
      <w:pPr>
        <w:ind w:firstLine="0"/>
      </w:pPr>
    </w:p>
    <w:p>
      <w:pPr>
        <w:pStyle w:val="SubHeading"/>
        <w:keepNext/>
      </w:pPr>
      <w:r>
        <w:t>3.2 Cele 9 tipologii de exergy box</w:t>
      </w:r>
    </w:p>
    <w:p>
      <w:pPr>
        <w:ind w:firstLine="0"/>
      </w:pPr>
    </w:p>
    <w:p>
      <w:pPr/>
      <w:r>
        <w:t>Cele 17+ categorii tehnologice sunt integrate fizic în 9 tipologii standardizate de Exergy Box — containere prefabricate ISO 668 cu interfețe standardizate (EBI — Exergy Box Interface) care permit interconectarea plug-and-play:</w:t>
      </w:r>
    </w:p>
    <w:p>
      <w:pPr/>
      <w:r>
        <w:t>Tipologiile funcționale și rolul în cascada tehnologică se regăsesc în Tabelul 6.</w:t>
      </w:r>
    </w:p>
    <w:p>
      <w:pPr>
        <w:ind w:firstLine="0"/>
      </w:pPr>
    </w:p>
    <w:p>
      <w:pPr>
        <w:pStyle w:val="TableCaption"/>
      </w:pPr>
      <w:r>
        <w:t>Tabel 6. Tipologiile funcționale și rolul în cascada tehnologică</w:t>
      </w:r>
    </w:p>
    <w:tbl>
      <w:tblPr>
        <w:tblStyle w:val="TableGrid"/>
        <w:tblW w:type="auto" w:w="0"/>
        <w:jc w:val="center"/>
        <w:tblLook w:firstColumn="1" w:firstRow="1" w:lastColumn="0" w:lastRow="0" w:noHBand="0" w:noVBand="1" w:val="04A0"/>
      </w:tblPr>
      <w:tblGrid>
        <w:gridCol w:w="3855"/>
        <w:gridCol w:w="3855"/>
      </w:tblGrid>
      <w:tr>
        <w:tc>
          <w:tcPr>
            <w:tcW w:type="dxa" w:w="3855"/>
          </w:tcPr>
          <w:p>
            <w:pPr>
              <w:spacing w:before="0" w:after="0"/>
              <w:ind w:firstLine="0"/>
              <w:jc w:val="left"/>
            </w:pPr>
            <w:r>
              <w:rPr>
                <w:rFonts w:ascii="Times New Roman" w:hAnsi="Times New Roman"/>
                <w:b/>
                <w:sz w:val="22"/>
              </w:rPr>
              <w:t>Tipologie Box</w:t>
            </w:r>
          </w:p>
        </w:tc>
        <w:tc>
          <w:tcPr>
            <w:tcW w:type="dxa" w:w="3855"/>
          </w:tcPr>
          <w:p>
            <w:pPr>
              <w:spacing w:before="0" w:after="0"/>
              <w:ind w:firstLine="0"/>
              <w:jc w:val="left"/>
            </w:pPr>
            <w:r>
              <w:rPr>
                <w:rFonts w:ascii="Times New Roman" w:hAnsi="Times New Roman"/>
                <w:b/>
                <w:sz w:val="22"/>
              </w:rPr>
              <w:t>Specificații Funcționale și Rol în Cascadă</w:t>
            </w:r>
          </w:p>
        </w:tc>
      </w:tr>
      <w:tr>
        <w:tc>
          <w:tcPr>
            <w:tcW w:type="dxa" w:w="3855"/>
          </w:tcPr>
          <w:p>
            <w:pPr>
              <w:spacing w:before="0" w:after="0"/>
              <w:ind w:firstLine="0"/>
              <w:jc w:val="left"/>
            </w:pPr>
            <w:r>
              <w:rPr>
                <w:rFonts w:ascii="Times New Roman" w:hAnsi="Times New Roman"/>
                <w:sz w:val="22"/>
              </w:rPr>
              <w:t>EB-CHP</w:t>
            </w:r>
          </w:p>
        </w:tc>
        <w:tc>
          <w:tcPr>
            <w:tcW w:type="dxa" w:w="3855"/>
          </w:tcPr>
          <w:p>
            <w:pPr>
              <w:spacing w:before="0" w:after="0"/>
              <w:ind w:firstLine="0"/>
              <w:jc w:val="left"/>
            </w:pPr>
            <w:r>
              <w:rPr>
                <w:rFonts w:ascii="Times New Roman" w:hAnsi="Times New Roman"/>
                <w:sz w:val="22"/>
              </w:rPr>
              <w:t>Cogenerare cu gazeificare biomasă/SRF (SynTech). Sursă primară N1. Output: electricitate + 80–90°C + biochar.</w:t>
            </w:r>
          </w:p>
        </w:tc>
      </w:tr>
      <w:tr>
        <w:tc>
          <w:tcPr>
            <w:tcW w:type="dxa" w:w="3855"/>
          </w:tcPr>
          <w:p>
            <w:pPr>
              <w:spacing w:before="0" w:after="0"/>
              <w:ind w:firstLine="0"/>
              <w:jc w:val="left"/>
            </w:pPr>
            <w:r>
              <w:rPr>
                <w:rFonts w:ascii="Times New Roman" w:hAnsi="Times New Roman"/>
                <w:sz w:val="22"/>
              </w:rPr>
              <w:t>EB-TPC</w:t>
            </w:r>
          </w:p>
        </w:tc>
        <w:tc>
          <w:tcPr>
            <w:tcW w:type="dxa" w:w="3855"/>
          </w:tcPr>
          <w:p>
            <w:pPr>
              <w:spacing w:before="0" w:after="0"/>
              <w:ind w:firstLine="0"/>
              <w:jc w:val="left"/>
            </w:pPr>
            <w:r>
              <w:rPr>
                <w:rFonts w:ascii="Times New Roman" w:hAnsi="Times New Roman"/>
                <w:sz w:val="22"/>
              </w:rPr>
              <w:t>Pompe de căldură termic (Thermal Production + Conversion). COP ≥4. Upgrade N4→N2 și N3→N2.</w:t>
            </w:r>
          </w:p>
        </w:tc>
      </w:tr>
      <w:tr>
        <w:tc>
          <w:tcPr>
            <w:tcW w:type="dxa" w:w="3855"/>
          </w:tcPr>
          <w:p>
            <w:pPr>
              <w:spacing w:before="0" w:after="0"/>
              <w:ind w:firstLine="0"/>
              <w:jc w:val="left"/>
            </w:pPr>
            <w:r>
              <w:rPr>
                <w:rFonts w:ascii="Times New Roman" w:hAnsi="Times New Roman"/>
                <w:sz w:val="22"/>
              </w:rPr>
              <w:t>EB-SOL</w:t>
            </w:r>
          </w:p>
        </w:tc>
        <w:tc>
          <w:tcPr>
            <w:tcW w:type="dxa" w:w="3855"/>
          </w:tcPr>
          <w:p>
            <w:pPr>
              <w:spacing w:before="0" w:after="0"/>
              <w:ind w:firstLine="0"/>
              <w:jc w:val="left"/>
            </w:pPr>
            <w:r>
              <w:rPr>
                <w:rFonts w:ascii="Times New Roman" w:hAnsi="Times New Roman"/>
                <w:sz w:val="22"/>
              </w:rPr>
              <w:t>Solar hibrid PVT + fotovoltaic + solar termal. Sursă N2–N3. Integrare cascadă directă.</w:t>
            </w:r>
          </w:p>
        </w:tc>
      </w:tr>
      <w:tr>
        <w:tc>
          <w:tcPr>
            <w:tcW w:type="dxa" w:w="3855"/>
          </w:tcPr>
          <w:p>
            <w:pPr>
              <w:spacing w:before="0" w:after="0"/>
              <w:ind w:firstLine="0"/>
              <w:jc w:val="left"/>
            </w:pPr>
            <w:r>
              <w:rPr>
                <w:rFonts w:ascii="Times New Roman" w:hAnsi="Times New Roman"/>
                <w:sz w:val="22"/>
              </w:rPr>
              <w:t>EB-H2</w:t>
            </w:r>
          </w:p>
        </w:tc>
        <w:tc>
          <w:tcPr>
            <w:tcW w:type="dxa" w:w="3855"/>
          </w:tcPr>
          <w:p>
            <w:pPr>
              <w:spacing w:before="0" w:after="0"/>
              <w:ind w:firstLine="0"/>
              <w:jc w:val="left"/>
            </w:pPr>
            <w:r>
              <w:rPr>
                <w:rFonts w:ascii="Times New Roman" w:hAnsi="Times New Roman"/>
                <w:sz w:val="22"/>
              </w:rPr>
              <w:t>Hidrogen: electroliză PEM + stocare + pile combustibil. Vector H₂ complet, bidirecțional.</w:t>
            </w:r>
          </w:p>
        </w:tc>
      </w:tr>
      <w:tr>
        <w:tc>
          <w:tcPr>
            <w:tcW w:type="dxa" w:w="3855"/>
          </w:tcPr>
          <w:p>
            <w:pPr>
              <w:spacing w:before="0" w:after="0"/>
              <w:ind w:firstLine="0"/>
              <w:jc w:val="left"/>
            </w:pPr>
            <w:r>
              <w:rPr>
                <w:rFonts w:ascii="Times New Roman" w:hAnsi="Times New Roman"/>
                <w:sz w:val="22"/>
              </w:rPr>
              <w:t>EB-STO</w:t>
            </w:r>
          </w:p>
        </w:tc>
        <w:tc>
          <w:tcPr>
            <w:tcW w:type="dxa" w:w="3855"/>
          </w:tcPr>
          <w:p>
            <w:pPr>
              <w:spacing w:before="0" w:after="0"/>
              <w:ind w:firstLine="0"/>
              <w:jc w:val="left"/>
            </w:pPr>
            <w:r>
              <w:rPr>
                <w:rFonts w:ascii="Times New Roman" w:hAnsi="Times New Roman"/>
                <w:sz w:val="22"/>
              </w:rPr>
              <w:t>Stocare multi-vector: baterii LFP + PCM termic + volant inerție. Buffer pentru toți vectorii.</w:t>
            </w:r>
          </w:p>
        </w:tc>
      </w:tr>
      <w:tr>
        <w:tc>
          <w:tcPr>
            <w:tcW w:type="dxa" w:w="3855"/>
          </w:tcPr>
          <w:p>
            <w:pPr>
              <w:spacing w:before="0" w:after="0"/>
              <w:ind w:firstLine="0"/>
              <w:jc w:val="left"/>
            </w:pPr>
            <w:r>
              <w:rPr>
                <w:rFonts w:ascii="Times New Roman" w:hAnsi="Times New Roman"/>
                <w:sz w:val="22"/>
              </w:rPr>
              <w:t>EB-EVC</w:t>
            </w:r>
          </w:p>
        </w:tc>
        <w:tc>
          <w:tcPr>
            <w:tcW w:type="dxa" w:w="3855"/>
          </w:tcPr>
          <w:p>
            <w:pPr>
              <w:spacing w:before="0" w:after="0"/>
              <w:ind w:firstLine="0"/>
              <w:jc w:val="left"/>
            </w:pPr>
            <w:r>
              <w:rPr>
                <w:rFonts w:ascii="Times New Roman" w:hAnsi="Times New Roman"/>
                <w:sz w:val="22"/>
              </w:rPr>
              <w:t>Mobilitate electrică + V2G ISO 15118. Stație încărcare bidirecțională + integrare flotă.</w:t>
            </w:r>
          </w:p>
        </w:tc>
      </w:tr>
      <w:tr>
        <w:tc>
          <w:tcPr>
            <w:tcW w:type="dxa" w:w="3855"/>
          </w:tcPr>
          <w:p>
            <w:pPr>
              <w:spacing w:before="0" w:after="0"/>
              <w:ind w:firstLine="0"/>
              <w:jc w:val="left"/>
            </w:pPr>
            <w:r>
              <w:rPr>
                <w:rFonts w:ascii="Times New Roman" w:hAnsi="Times New Roman"/>
                <w:sz w:val="22"/>
              </w:rPr>
              <w:t>EB-EMS</w:t>
            </w:r>
          </w:p>
        </w:tc>
        <w:tc>
          <w:tcPr>
            <w:tcW w:type="dxa" w:w="3855"/>
          </w:tcPr>
          <w:p>
            <w:pPr>
              <w:spacing w:before="0" w:after="0"/>
              <w:ind w:firstLine="0"/>
              <w:jc w:val="left"/>
            </w:pPr>
            <w:r>
              <w:rPr>
                <w:rFonts w:ascii="Times New Roman" w:hAnsi="Times New Roman"/>
                <w:sz w:val="22"/>
              </w:rPr>
              <w:t>Management și control: Edge Controller + AI dispatch + AssetHealth + Digital Twin local.</w:t>
            </w:r>
          </w:p>
        </w:tc>
      </w:tr>
      <w:tr>
        <w:tc>
          <w:tcPr>
            <w:tcW w:type="dxa" w:w="3855"/>
          </w:tcPr>
          <w:p>
            <w:pPr>
              <w:spacing w:before="0" w:after="0"/>
              <w:ind w:firstLine="0"/>
              <w:jc w:val="left"/>
            </w:pPr>
            <w:r>
              <w:rPr>
                <w:rFonts w:ascii="Times New Roman" w:hAnsi="Times New Roman"/>
                <w:sz w:val="22"/>
              </w:rPr>
              <w:t>EB-S2E</w:t>
            </w:r>
          </w:p>
        </w:tc>
        <w:tc>
          <w:tcPr>
            <w:tcW w:type="dxa" w:w="3855"/>
          </w:tcPr>
          <w:p>
            <w:pPr>
              <w:spacing w:before="0" w:after="0"/>
              <w:ind w:firstLine="0"/>
              <w:jc w:val="left"/>
            </w:pPr>
            <w:r>
              <w:rPr>
                <w:rFonts w:ascii="Times New Roman" w:hAnsi="Times New Roman"/>
                <w:sz w:val="22"/>
              </w:rPr>
              <w:t>Sport-to-Energy open-air: echipamente piezoelectrice/EM + pergolă SymbiotyX + gamificare.</w:t>
            </w:r>
          </w:p>
        </w:tc>
      </w:tr>
      <w:tr>
        <w:tc>
          <w:tcPr>
            <w:tcW w:type="dxa" w:w="3855"/>
          </w:tcPr>
          <w:p>
            <w:pPr>
              <w:spacing w:before="0" w:after="0"/>
              <w:ind w:firstLine="0"/>
              <w:jc w:val="left"/>
            </w:pPr>
            <w:r>
              <w:rPr>
                <w:rFonts w:ascii="Times New Roman" w:hAnsi="Times New Roman"/>
                <w:sz w:val="22"/>
              </w:rPr>
              <w:t>EB-MIX</w:t>
            </w:r>
          </w:p>
        </w:tc>
        <w:tc>
          <w:tcPr>
            <w:tcW w:type="dxa" w:w="3855"/>
          </w:tcPr>
          <w:p>
            <w:pPr>
              <w:spacing w:before="0" w:after="0"/>
              <w:ind w:firstLine="0"/>
              <w:jc w:val="left"/>
            </w:pPr>
            <w:r>
              <w:rPr>
                <w:rFonts w:ascii="Times New Roman" w:hAnsi="Times New Roman"/>
                <w:sz w:val="22"/>
              </w:rPr>
              <w:t>Box de mixare și echilibrare: integrare fluxuri de la multiple Box-uri, cascadă inter-Box.</w:t>
            </w:r>
          </w:p>
        </w:tc>
      </w:tr>
    </w:tbl>
    <w:p>
      <w:pPr>
        <w:ind w:firstLine="0"/>
      </w:pPr>
    </w:p>
    <w:p>
      <w:pPr>
        <w:ind w:firstLine="0"/>
      </w:pPr>
    </w:p>
    <w:p>
      <w:pPr>
        <w:pStyle w:val="SubHeading"/>
        <w:keepNext/>
      </w:pPr>
      <w:r>
        <w:t>3.3 Integrarea tehnologică prin cascada termodinamică</w:t>
      </w:r>
    </w:p>
    <w:p>
      <w:pPr>
        <w:ind w:firstLine="0"/>
      </w:pPr>
    </w:p>
    <w:p>
      <w:pPr/>
      <w:r>
        <w:t>Rațiunea sistemică a diversificării portofoliului tehnologic nu este acoperirea riscului, ci completitudinea cascadei termodinamice pe 4 niveluri. Fiecare categorie tehnologică ocupă o poziție precisă în cascadă:</w:t>
      </w:r>
    </w:p>
    <w:p>
      <w:pPr/>
      <w:r>
        <w:t>Alocarea tehnologiilor pe nivelurile cascadei este descrisă în Tabelul 7.</w:t>
      </w:r>
    </w:p>
    <w:p>
      <w:pPr>
        <w:ind w:firstLine="0"/>
      </w:pPr>
    </w:p>
    <w:p>
      <w:pPr>
        <w:pStyle w:val="TableCaption"/>
      </w:pPr>
      <w:r>
        <w:t>Tabel 7. Alocarea tehnologiilor pe nivelurile cascadei</w:t>
      </w:r>
    </w:p>
    <w:tbl>
      <w:tblPr>
        <w:tblStyle w:val="TableGrid"/>
        <w:tblW w:type="auto" w:w="0"/>
        <w:jc w:val="center"/>
        <w:tblLook w:firstColumn="1" w:firstRow="1" w:lastColumn="0" w:lastRow="0" w:noHBand="0" w:noVBand="1" w:val="04A0"/>
      </w:tblPr>
      <w:tblGrid>
        <w:gridCol w:w="3855"/>
        <w:gridCol w:w="3855"/>
      </w:tblGrid>
      <w:tr>
        <w:tc>
          <w:tcPr>
            <w:tcW w:type="dxa" w:w="3855"/>
          </w:tcPr>
          <w:p>
            <w:pPr>
              <w:spacing w:before="0" w:after="0"/>
              <w:ind w:firstLine="0"/>
              <w:jc w:val="left"/>
            </w:pPr>
            <w:r>
              <w:rPr>
                <w:rFonts w:ascii="Times New Roman" w:hAnsi="Times New Roman"/>
                <w:b/>
                <w:sz w:val="22"/>
              </w:rPr>
              <w:t>Nivel Cascadă</w:t>
            </w:r>
          </w:p>
        </w:tc>
        <w:tc>
          <w:tcPr>
            <w:tcW w:type="dxa" w:w="3855"/>
          </w:tcPr>
          <w:p>
            <w:pPr>
              <w:spacing w:before="0" w:after="0"/>
              <w:ind w:firstLine="0"/>
              <w:jc w:val="left"/>
            </w:pPr>
            <w:r>
              <w:rPr>
                <w:rFonts w:ascii="Times New Roman" w:hAnsi="Times New Roman"/>
                <w:b/>
                <w:sz w:val="22"/>
              </w:rPr>
              <w:t>Categorii Tehnologice Alocate și Aplicații</w:t>
            </w:r>
          </w:p>
        </w:tc>
      </w:tr>
      <w:tr>
        <w:tc>
          <w:tcPr>
            <w:tcW w:type="dxa" w:w="3855"/>
          </w:tcPr>
          <w:p>
            <w:pPr>
              <w:spacing w:before="0" w:after="0"/>
              <w:ind w:firstLine="0"/>
              <w:jc w:val="left"/>
            </w:pPr>
            <w:r>
              <w:rPr>
                <w:rFonts w:ascii="Times New Roman" w:hAnsi="Times New Roman"/>
                <w:sz w:val="22"/>
              </w:rPr>
              <w:t>N1 — Înaltă Temperatură (80–90°C)</w:t>
            </w:r>
          </w:p>
        </w:tc>
        <w:tc>
          <w:tcPr>
            <w:tcW w:type="dxa" w:w="3855"/>
          </w:tcPr>
          <w:p>
            <w:pPr>
              <w:spacing w:before="0" w:after="0"/>
              <w:ind w:firstLine="0"/>
              <w:jc w:val="left"/>
            </w:pPr>
            <w:r>
              <w:rPr>
                <w:rFonts w:ascii="Times New Roman" w:hAnsi="Times New Roman"/>
                <w:sz w:val="22"/>
              </w:rPr>
              <w:t>SynTech CHP (sursă primară dispatchabilă), Pile H₂ SOFC (secundar). Aplicații: radiatoare, procese industriale, uscare biomasă.</w:t>
            </w:r>
          </w:p>
        </w:tc>
      </w:tr>
      <w:tr>
        <w:tc>
          <w:tcPr>
            <w:tcW w:type="dxa" w:w="3855"/>
          </w:tcPr>
          <w:p>
            <w:pPr>
              <w:spacing w:before="0" w:after="0"/>
              <w:ind w:firstLine="0"/>
              <w:jc w:val="left"/>
            </w:pPr>
            <w:r>
              <w:rPr>
                <w:rFonts w:ascii="Times New Roman" w:hAnsi="Times New Roman"/>
                <w:sz w:val="22"/>
              </w:rPr>
              <w:t>N2 — Medie Temperatură (50–65°C)</w:t>
            </w:r>
          </w:p>
        </w:tc>
        <w:tc>
          <w:tcPr>
            <w:tcW w:type="dxa" w:w="3855"/>
          </w:tcPr>
          <w:p>
            <w:pPr>
              <w:spacing w:before="0" w:after="0"/>
              <w:ind w:firstLine="0"/>
              <w:jc w:val="left"/>
            </w:pPr>
            <w:r>
              <w:rPr>
                <w:rFonts w:ascii="Times New Roman" w:hAnsi="Times New Roman"/>
                <w:sz w:val="22"/>
              </w:rPr>
              <w:t>Pompe căldură (upgrade N4→N2), PVT solar (directă sezonieră), stocare PCM N2. Aplicații: încălzire pardoseală, fan-coil, ACM.</w:t>
            </w:r>
          </w:p>
        </w:tc>
      </w:tr>
      <w:tr>
        <w:tc>
          <w:tcPr>
            <w:tcW w:type="dxa" w:w="3855"/>
          </w:tcPr>
          <w:p>
            <w:pPr>
              <w:spacing w:before="0" w:after="0"/>
              <w:ind w:firstLine="0"/>
              <w:jc w:val="left"/>
            </w:pPr>
            <w:r>
              <w:rPr>
                <w:rFonts w:ascii="Times New Roman" w:hAnsi="Times New Roman"/>
                <w:sz w:val="22"/>
              </w:rPr>
              <w:t>N3 — Joasă Temperatură (30–45°C)</w:t>
            </w:r>
          </w:p>
        </w:tc>
        <w:tc>
          <w:tcPr>
            <w:tcW w:type="dxa" w:w="3855"/>
          </w:tcPr>
          <w:p>
            <w:pPr>
              <w:spacing w:before="0" w:after="0"/>
              <w:ind w:firstLine="0"/>
              <w:jc w:val="left"/>
            </w:pPr>
            <w:r>
              <w:rPr>
                <w:rFonts w:ascii="Times New Roman" w:hAnsi="Times New Roman"/>
                <w:sz w:val="22"/>
              </w:rPr>
              <w:t>Recuperare reziduală din N2, solar termal direct, sere Nexus Farm. Aplicații: preîncălzire, sere, procese agricole.</w:t>
            </w:r>
          </w:p>
        </w:tc>
      </w:tr>
      <w:tr>
        <w:tc>
          <w:tcPr>
            <w:tcW w:type="dxa" w:w="3855"/>
          </w:tcPr>
          <w:p>
            <w:pPr>
              <w:spacing w:before="0" w:after="0"/>
              <w:ind w:firstLine="0"/>
              <w:jc w:val="left"/>
            </w:pPr>
            <w:r>
              <w:rPr>
                <w:rFonts w:ascii="Times New Roman" w:hAnsi="Times New Roman"/>
                <w:sz w:val="22"/>
              </w:rPr>
              <w:t>N4 — Upgrade (5–25°C)</w:t>
            </w:r>
          </w:p>
        </w:tc>
        <w:tc>
          <w:tcPr>
            <w:tcW w:type="dxa" w:w="3855"/>
          </w:tcPr>
          <w:p>
            <w:pPr>
              <w:spacing w:before="0" w:after="0"/>
              <w:ind w:firstLine="0"/>
              <w:jc w:val="left"/>
            </w:pPr>
            <w:r>
              <w:rPr>
                <w:rFonts w:ascii="Times New Roman" w:hAnsi="Times New Roman"/>
                <w:sz w:val="22"/>
              </w:rPr>
              <w:t>Sol, aer, apă freatică: surse pentru pompe de căldură. Stocare sezonieră în sol BTES. SymbiotyX: răcire pasivă.</w:t>
            </w:r>
          </w:p>
        </w:tc>
      </w:tr>
      <w:tr>
        <w:tc>
          <w:tcPr>
            <w:tcW w:type="dxa" w:w="3855"/>
          </w:tcPr>
          <w:p>
            <w:pPr>
              <w:spacing w:before="0" w:after="0"/>
              <w:ind w:firstLine="0"/>
              <w:jc w:val="left"/>
            </w:pPr>
            <w:r>
              <w:rPr>
                <w:rFonts w:ascii="Times New Roman" w:hAnsi="Times New Roman"/>
                <w:sz w:val="22"/>
              </w:rPr>
              <w:t>Electric (toți vectorii)</w:t>
            </w:r>
          </w:p>
        </w:tc>
        <w:tc>
          <w:tcPr>
            <w:tcW w:type="dxa" w:w="3855"/>
          </w:tcPr>
          <w:p>
            <w:pPr>
              <w:spacing w:before="0" w:after="0"/>
              <w:ind w:firstLine="0"/>
              <w:jc w:val="left"/>
            </w:pPr>
            <w:r>
              <w:rPr>
                <w:rFonts w:ascii="Times New Roman" w:hAnsi="Times New Roman"/>
                <w:sz w:val="22"/>
              </w:rPr>
              <w:t>FV multi-tip + eolian + micro-hidro + S2E + V2G + CHP. Agregat în busbar DC → invertor → Grid comunitar. Stocare LFP/vanadiu.</w:t>
            </w:r>
          </w:p>
        </w:tc>
      </w:tr>
      <w:tr>
        <w:tc>
          <w:tcPr>
            <w:tcW w:type="dxa" w:w="3855"/>
          </w:tcPr>
          <w:p>
            <w:pPr>
              <w:spacing w:before="0" w:after="0"/>
              <w:ind w:firstLine="0"/>
              <w:jc w:val="left"/>
            </w:pPr>
            <w:r>
              <w:rPr>
                <w:rFonts w:ascii="Times New Roman" w:hAnsi="Times New Roman"/>
                <w:sz w:val="22"/>
              </w:rPr>
              <w:t>Combustibili (H₂ + SRF + Biomasă)</w:t>
            </w:r>
          </w:p>
        </w:tc>
        <w:tc>
          <w:tcPr>
            <w:tcW w:type="dxa" w:w="3855"/>
          </w:tcPr>
          <w:p>
            <w:pPr>
              <w:spacing w:before="0" w:after="0"/>
              <w:ind w:firstLine="0"/>
              <w:jc w:val="left"/>
            </w:pPr>
            <w:r>
              <w:rPr>
                <w:rFonts w:ascii="Times New Roman" w:hAnsi="Times New Roman"/>
                <w:sz w:val="22"/>
              </w:rPr>
              <w:t>Electrolizor PEM (H₂ din surplus electric), ReFuel (SRF din deșeuri), biomasa forestieră locală. Inter-schimbabili în SynTech.</w:t>
            </w:r>
          </w:p>
        </w:tc>
      </w:tr>
    </w:tbl>
    <w:p>
      <w:pPr>
        <w:ind w:firstLine="0"/>
      </w:pPr>
    </w:p>
    <w:p>
      <w:pPr>
        <w:ind w:firstLine="0"/>
      </w:pPr>
    </w:p>
    <w:p>
      <w:pPr>
        <w:pStyle w:val="ChapterHeading"/>
        <w:keepNext/>
      </w:pPr>
      <w:r>
        <w:t>4. Cele 16+5 Fluxuri de Venituri — Modelul Economic Integrat</w:t>
      </w:r>
    </w:p>
    <w:p>
      <w:pPr>
        <w:ind w:firstLine="0"/>
      </w:pPr>
    </w:p>
    <w:p>
      <w:pPr/>
      <w:r>
        <w:t>Modelul economic al Exergy Metasystem este construit pe premisa că sustenabilitatea financiară a paradigmei exergetice este funcție directă a integrării sistemice. Niciun flux de venituri individual nu justifică investiția în arhitectura completă — dar ansamblul celor 16+5 fluxuri, stivuite (revenue stacking) și aggregate prin Holistic Aggregator, generează o rentabilitate structural superioară oricărei abordări izolate.</w:t>
      </w:r>
    </w:p>
    <w:p>
      <w:pPr>
        <w:ind w:firstLine="0"/>
      </w:pPr>
    </w:p>
    <w:p>
      <w:pPr>
        <w:pStyle w:val="SubHeading"/>
        <w:keepNext/>
      </w:pPr>
      <w:r>
        <w:t>4.1 Structura open-core pe 4 niveluri</w:t>
      </w:r>
    </w:p>
    <w:p>
      <w:pPr>
        <w:ind w:firstLine="0"/>
      </w:pPr>
    </w:p>
    <w:p>
      <w:pPr/>
      <w:r>
        <w:t>Înainte de a detalia fluxurile de venituri, este esențial să se înțeleagă arhitectura comercială Open-Core care le generează. Inspirat din cele mai bune practici ale Red Hat, GitLab și Elastic — adaptate specificului energetic european — modelul operează pe 4 niveluri de acces:</w:t>
      </w:r>
    </w:p>
    <w:p>
      <w:pPr/>
      <w:r>
        <w:t>Structura pe niveluri cu parametri financiari se poate observa în Tabelul 8.</w:t>
      </w:r>
    </w:p>
    <w:p>
      <w:pPr>
        <w:ind w:firstLine="0"/>
      </w:pPr>
    </w:p>
    <w:p>
      <w:pPr>
        <w:pStyle w:val="TableCaption"/>
      </w:pPr>
      <w:r>
        <w:t>Tabel 8. Structura pe niveluri cu parametri financiari</w:t>
      </w:r>
    </w:p>
    <w:tbl>
      <w:tblPr>
        <w:tblStyle w:val="TableGrid"/>
        <w:tblW w:type="auto" w:w="0"/>
        <w:jc w:val="center"/>
        <w:tblLook w:firstColumn="1" w:firstRow="1" w:lastColumn="0" w:lastRow="0" w:noHBand="0" w:noVBand="1" w:val="04A0"/>
      </w:tblPr>
      <w:tblGrid>
        <w:gridCol w:w="3855"/>
        <w:gridCol w:w="3855"/>
      </w:tblGrid>
      <w:tr>
        <w:tc>
          <w:tcPr>
            <w:tcW w:type="dxa" w:w="3855"/>
          </w:tcPr>
          <w:p>
            <w:pPr>
              <w:spacing w:before="0" w:after="0"/>
              <w:ind w:firstLine="0"/>
              <w:jc w:val="left"/>
            </w:pPr>
            <w:r>
              <w:rPr>
                <w:rFonts w:ascii="Times New Roman" w:hAnsi="Times New Roman"/>
                <w:b/>
                <w:sz w:val="22"/>
              </w:rPr>
              <w:t>Nivel</w:t>
            </w:r>
          </w:p>
        </w:tc>
        <w:tc>
          <w:tcPr>
            <w:tcW w:type="dxa" w:w="3855"/>
          </w:tcPr>
          <w:p>
            <w:pPr>
              <w:spacing w:before="0" w:after="0"/>
              <w:ind w:firstLine="0"/>
              <w:jc w:val="left"/>
            </w:pPr>
            <w:r>
              <w:rPr>
                <w:rFonts w:ascii="Times New Roman" w:hAnsi="Times New Roman"/>
                <w:b/>
                <w:sz w:val="22"/>
              </w:rPr>
              <w:t>Conținut, Obiectiv și Parametri Financiari</w:t>
            </w:r>
          </w:p>
        </w:tc>
      </w:tr>
      <w:tr>
        <w:tc>
          <w:tcPr>
            <w:tcW w:type="dxa" w:w="3855"/>
          </w:tcPr>
          <w:p>
            <w:pPr>
              <w:spacing w:before="0" w:after="0"/>
              <w:ind w:firstLine="0"/>
              <w:jc w:val="left"/>
            </w:pPr>
            <w:r>
              <w:rPr>
                <w:rFonts w:ascii="Times New Roman" w:hAnsi="Times New Roman"/>
                <w:sz w:val="22"/>
              </w:rPr>
              <w:t>Nivelul 1 — OPEN (Gratuit / CC BY-SA 4.0)</w:t>
            </w:r>
          </w:p>
        </w:tc>
        <w:tc>
          <w:tcPr>
            <w:tcW w:type="dxa" w:w="3855"/>
          </w:tcPr>
          <w:p>
            <w:pPr>
              <w:spacing w:before="0" w:after="0"/>
              <w:ind w:firstLine="0"/>
              <w:jc w:val="left"/>
            </w:pPr>
            <w:r>
              <w:rPr>
                <w:rFonts w:ascii="Times New Roman" w:hAnsi="Times New Roman"/>
                <w:sz w:val="22"/>
              </w:rPr>
              <w:t>Algoritmi exergetici de bază, metodologie QM, standarde cascadă, curriculum EnEx, date de referință. Obiectiv: adopție globală, comunitate academică, politici publice. Conversie estimată: 5–10% spre Freemium.</w:t>
            </w:r>
          </w:p>
        </w:tc>
      </w:tr>
      <w:tr>
        <w:tc>
          <w:tcPr>
            <w:tcW w:type="dxa" w:w="3855"/>
          </w:tcPr>
          <w:p>
            <w:pPr>
              <w:spacing w:before="0" w:after="0"/>
              <w:ind w:firstLine="0"/>
              <w:jc w:val="left"/>
            </w:pPr>
            <w:r>
              <w:rPr>
                <w:rFonts w:ascii="Times New Roman" w:hAnsi="Times New Roman"/>
                <w:sz w:val="22"/>
              </w:rPr>
              <w:t>Nivelul 2 — FREEMIUM (Gratuit / Limitat)</w:t>
            </w:r>
          </w:p>
        </w:tc>
        <w:tc>
          <w:tcPr>
            <w:tcW w:type="dxa" w:w="3855"/>
          </w:tcPr>
          <w:p>
            <w:pPr>
              <w:spacing w:before="0" w:after="0"/>
              <w:ind w:firstLine="0"/>
              <w:jc w:val="left"/>
            </w:pPr>
            <w:r>
              <w:rPr>
                <w:rFonts w:ascii="Times New Roman" w:hAnsi="Times New Roman"/>
                <w:sz w:val="22"/>
              </w:rPr>
              <w:t>EMS basic (monitorizare), simulator exergetic, certificare Clasa E-D, App comunitară read-only. Obiectiv: comunități în tranziție, autorități locale, investitori. Conversie estimată: 15–20% spre Premium.</w:t>
            </w:r>
          </w:p>
        </w:tc>
      </w:tr>
      <w:tr>
        <w:tc>
          <w:tcPr>
            <w:tcW w:type="dxa" w:w="3855"/>
          </w:tcPr>
          <w:p>
            <w:pPr>
              <w:spacing w:before="0" w:after="0"/>
              <w:ind w:firstLine="0"/>
              <w:jc w:val="left"/>
            </w:pPr>
            <w:r>
              <w:rPr>
                <w:rFonts w:ascii="Times New Roman" w:hAnsi="Times New Roman"/>
                <w:sz w:val="22"/>
              </w:rPr>
              <w:t>Nivelul 3 — PREMIUM SaaS (500–5.000 €/lună)</w:t>
            </w:r>
          </w:p>
        </w:tc>
        <w:tc>
          <w:tcPr>
            <w:tcW w:type="dxa" w:w="3855"/>
          </w:tcPr>
          <w:p>
            <w:pPr>
              <w:spacing w:before="0" w:after="0"/>
              <w:ind w:firstLine="0"/>
              <w:jc w:val="left"/>
            </w:pPr>
            <w:r>
              <w:rPr>
                <w:rFonts w:ascii="Times New Roman" w:hAnsi="Times New Roman"/>
                <w:sz w:val="22"/>
              </w:rPr>
              <w:t>EMS Pro AI, AssetHealth ML, Digital Twin comunitar, ScenarioLab, Cloud Analytics, certificare B–A+. Obiectiv: comunități operaționale. Marjă: 70–85%.</w:t>
            </w:r>
          </w:p>
        </w:tc>
      </w:tr>
      <w:tr>
        <w:tc>
          <w:tcPr>
            <w:tcW w:type="dxa" w:w="3855"/>
          </w:tcPr>
          <w:p>
            <w:pPr>
              <w:spacing w:before="0" w:after="0"/>
              <w:ind w:firstLine="0"/>
              <w:jc w:val="left"/>
            </w:pPr>
            <w:r>
              <w:rPr>
                <w:rFonts w:ascii="Times New Roman" w:hAnsi="Times New Roman"/>
                <w:sz w:val="22"/>
              </w:rPr>
              <w:t>Nivelul 4 — ENTERPRISE (10.000–50.000 €/an)</w:t>
            </w:r>
          </w:p>
        </w:tc>
        <w:tc>
          <w:tcPr>
            <w:tcW w:type="dxa" w:w="3855"/>
          </w:tcPr>
          <w:p>
            <w:pPr>
              <w:spacing w:before="0" w:after="0"/>
              <w:ind w:firstLine="0"/>
              <w:jc w:val="left"/>
            </w:pPr>
            <w:r>
              <w:rPr>
                <w:rFonts w:ascii="Times New Roman" w:hAnsi="Times New Roman"/>
                <w:sz w:val="22"/>
              </w:rPr>
              <w:t>Exergy Online, HGA complet, EquityX orchestrat, white-label, SLA garantat, integrare OPCOM. Obiectiv: consorții, municipalități mari, operatori regionali. Marjă: 60–75%.</w:t>
            </w:r>
          </w:p>
        </w:tc>
      </w:tr>
    </w:tbl>
    <w:p>
      <w:pPr>
        <w:ind w:firstLine="0"/>
      </w:pPr>
    </w:p>
    <w:p>
      <w:pPr>
        <w:ind w:firstLine="0"/>
      </w:pPr>
    </w:p>
    <w:p>
      <w:pPr>
        <w:pStyle w:val="SubHeading"/>
        <w:keepNext/>
      </w:pPr>
      <w:r>
        <w:t>4.2 Categoria i — platformă digitală (3 fluxuri)</w:t>
      </w:r>
    </w:p>
    <w:p>
      <w:pPr>
        <w:ind w:firstLine="0"/>
      </w:pPr>
    </w:p>
    <w:p>
      <w:pPr/>
      <w:r>
        <w:t>Caracteristicile financiare ale fluxurilor identificate sunt detaliate în Tabelul 9.</w:t>
      </w:r>
    </w:p>
    <w:p>
      <w:pPr>
        <w:ind w:firstLine="0"/>
      </w:pPr>
    </w:p>
    <w:p>
      <w:pPr>
        <w:pStyle w:val="TableCaption"/>
      </w:pPr>
      <w:r>
        <w:t>Tabel 9. Caracteristicile financiare ale fluxurilor identificate</w:t>
      </w:r>
    </w:p>
    <w:tbl>
      <w:tblPr>
        <w:tblStyle w:val="TableGrid"/>
        <w:tblW w:type="auto" w:w="0"/>
        <w:jc w:val="center"/>
        <w:tblLook w:firstColumn="1" w:firstRow="1" w:lastColumn="0" w:lastRow="0" w:noHBand="0" w:noVBand="1" w:val="04A0"/>
      </w:tblPr>
      <w:tblGrid>
        <w:gridCol w:w="3855"/>
        <w:gridCol w:w="3855"/>
      </w:tblGrid>
      <w:tr>
        <w:tc>
          <w:tcPr>
            <w:tcW w:type="dxa" w:w="3855"/>
          </w:tcPr>
          <w:p>
            <w:pPr>
              <w:spacing w:before="0" w:after="0"/>
              <w:ind w:firstLine="0"/>
              <w:jc w:val="left"/>
            </w:pPr>
            <w:r>
              <w:rPr>
                <w:rFonts w:ascii="Times New Roman" w:hAnsi="Times New Roman"/>
                <w:b/>
                <w:sz w:val="22"/>
              </w:rPr>
              <w:t>Flux</w:t>
            </w:r>
          </w:p>
        </w:tc>
        <w:tc>
          <w:tcPr>
            <w:tcW w:type="dxa" w:w="3855"/>
          </w:tcPr>
          <w:p>
            <w:pPr>
              <w:spacing w:before="0" w:after="0"/>
              <w:ind w:firstLine="0"/>
              <w:jc w:val="left"/>
            </w:pPr>
            <w:r>
              <w:rPr>
                <w:rFonts w:ascii="Times New Roman" w:hAnsi="Times New Roman"/>
                <w:b/>
                <w:sz w:val="22"/>
              </w:rPr>
              <w:t>Descriere și Caracteristici Financiare</w:t>
            </w:r>
          </w:p>
        </w:tc>
      </w:tr>
      <w:tr>
        <w:tc>
          <w:tcPr>
            <w:tcW w:type="dxa" w:w="3855"/>
          </w:tcPr>
          <w:p>
            <w:pPr>
              <w:spacing w:before="0" w:after="0"/>
              <w:ind w:firstLine="0"/>
              <w:jc w:val="left"/>
            </w:pPr>
            <w:r>
              <w:rPr>
                <w:rFonts w:ascii="Times New Roman" w:hAnsi="Times New Roman"/>
                <w:sz w:val="22"/>
              </w:rPr>
              <w:t>F1 — EMS SaaS</w:t>
            </w:r>
          </w:p>
        </w:tc>
        <w:tc>
          <w:tcPr>
            <w:tcW w:type="dxa" w:w="3855"/>
          </w:tcPr>
          <w:p>
            <w:pPr>
              <w:spacing w:before="0" w:after="0"/>
              <w:ind w:firstLine="0"/>
              <w:jc w:val="left"/>
            </w:pPr>
            <w:r>
              <w:rPr>
                <w:rFonts w:ascii="Times New Roman" w:hAnsi="Times New Roman"/>
                <w:sz w:val="22"/>
              </w:rPr>
              <w:t>Abonament lunar pentru managementul energetic AI. Dispatch exergetic, optimizare multi-vector, 6 bucle feedback ierarhice (&lt;1s la lunar). ARR stabil, marjă 70–85%.</w:t>
            </w:r>
          </w:p>
        </w:tc>
      </w:tr>
      <w:tr>
        <w:tc>
          <w:tcPr>
            <w:tcW w:type="dxa" w:w="3855"/>
          </w:tcPr>
          <w:p>
            <w:pPr>
              <w:spacing w:before="0" w:after="0"/>
              <w:ind w:firstLine="0"/>
              <w:jc w:val="left"/>
            </w:pPr>
            <w:r>
              <w:rPr>
                <w:rFonts w:ascii="Times New Roman" w:hAnsi="Times New Roman"/>
                <w:sz w:val="22"/>
              </w:rPr>
              <w:t>F2 — Cloud &amp; Online</w:t>
            </w:r>
          </w:p>
        </w:tc>
        <w:tc>
          <w:tcPr>
            <w:tcW w:type="dxa" w:w="3855"/>
          </w:tcPr>
          <w:p>
            <w:pPr>
              <w:spacing w:before="0" w:after="0"/>
              <w:ind w:firstLine="0"/>
              <w:jc w:val="left"/>
            </w:pPr>
            <w:r>
              <w:rPr>
                <w:rFonts w:ascii="Times New Roman" w:hAnsi="Times New Roman"/>
                <w:sz w:val="22"/>
              </w:rPr>
              <w:t>Platform-as-a-Service: infrastructură cloud, Digital Twin comunitar, ScenarioLab, Exergy Online (marketplace inter-comunitar). Recurent, scalabil, marjă 75–85%.</w:t>
            </w:r>
          </w:p>
        </w:tc>
      </w:tr>
      <w:tr>
        <w:tc>
          <w:tcPr>
            <w:tcW w:type="dxa" w:w="3855"/>
          </w:tcPr>
          <w:p>
            <w:pPr>
              <w:spacing w:before="0" w:after="0"/>
              <w:ind w:firstLine="0"/>
              <w:jc w:val="left"/>
            </w:pPr>
            <w:r>
              <w:rPr>
                <w:rFonts w:ascii="Times New Roman" w:hAnsi="Times New Roman"/>
                <w:sz w:val="22"/>
              </w:rPr>
              <w:t>F3 — Tokens &amp; Data Marketplace</w:t>
            </w:r>
          </w:p>
        </w:tc>
        <w:tc>
          <w:tcPr>
            <w:tcW w:type="dxa" w:w="3855"/>
          </w:tcPr>
          <w:p>
            <w:pPr>
              <w:spacing w:before="0" w:after="0"/>
              <w:ind w:firstLine="0"/>
              <w:jc w:val="left"/>
            </w:pPr>
            <w:r>
              <w:rPr>
                <w:rFonts w:ascii="Times New Roman" w:hAnsi="Times New Roman"/>
                <w:sz w:val="22"/>
              </w:rPr>
              <w:t>Comision tranzacții tokeni (energie, SRF, carbon, participare, flexibilitate) + vânzare date anonimizate agregatе către cercetători/reglementatori. Recurent, crește cu rețeaua.</w:t>
            </w:r>
          </w:p>
        </w:tc>
      </w:tr>
    </w:tbl>
    <w:p>
      <w:pPr>
        <w:ind w:firstLine="0"/>
      </w:pPr>
    </w:p>
    <w:p>
      <w:pPr>
        <w:ind w:firstLine="0"/>
      </w:pPr>
    </w:p>
    <w:p>
      <w:pPr>
        <w:pStyle w:val="SubHeading"/>
        <w:keepNext/>
      </w:pPr>
      <w:r>
        <w:t>4.3 Categoria ii — agregare holistică &amp; piețe (3 fluxuri)</w:t>
      </w:r>
    </w:p>
    <w:p>
      <w:pPr>
        <w:ind w:firstLine="0"/>
      </w:pPr>
    </w:p>
    <w:p>
      <w:pPr/>
      <w:r>
        <w:t>Descrierea fluxurilor și aspectele lor financiare sunt prezentate în Tabelul 10.</w:t>
      </w:r>
    </w:p>
    <w:p>
      <w:pPr>
        <w:ind w:firstLine="0"/>
      </w:pPr>
    </w:p>
    <w:p>
      <w:pPr>
        <w:pStyle w:val="TableCaption"/>
      </w:pPr>
      <w:r>
        <w:t>Tabel 10. Descrierea fluxurilor și aspectele lor financiare</w:t>
      </w:r>
    </w:p>
    <w:tbl>
      <w:tblPr>
        <w:tblStyle w:val="TableGrid"/>
        <w:tblW w:type="auto" w:w="0"/>
        <w:jc w:val="center"/>
        <w:tblLook w:firstColumn="1" w:firstRow="1" w:lastColumn="0" w:lastRow="0" w:noHBand="0" w:noVBand="1" w:val="04A0"/>
      </w:tblPr>
      <w:tblGrid>
        <w:gridCol w:w="3855"/>
        <w:gridCol w:w="3855"/>
      </w:tblGrid>
      <w:tr>
        <w:tc>
          <w:tcPr>
            <w:tcW w:type="dxa" w:w="3855"/>
          </w:tcPr>
          <w:p>
            <w:pPr>
              <w:spacing w:before="0" w:after="0"/>
              <w:ind w:firstLine="0"/>
              <w:jc w:val="left"/>
            </w:pPr>
            <w:r>
              <w:rPr>
                <w:rFonts w:ascii="Times New Roman" w:hAnsi="Times New Roman"/>
                <w:b/>
                <w:sz w:val="22"/>
              </w:rPr>
              <w:t>Flux</w:t>
            </w:r>
          </w:p>
        </w:tc>
        <w:tc>
          <w:tcPr>
            <w:tcW w:type="dxa" w:w="3855"/>
          </w:tcPr>
          <w:p>
            <w:pPr>
              <w:spacing w:before="0" w:after="0"/>
              <w:ind w:firstLine="0"/>
              <w:jc w:val="left"/>
            </w:pPr>
            <w:r>
              <w:rPr>
                <w:rFonts w:ascii="Times New Roman" w:hAnsi="Times New Roman"/>
                <w:b/>
                <w:sz w:val="22"/>
              </w:rPr>
              <w:t>Descriere și Caracteristici Financiare</w:t>
            </w:r>
          </w:p>
        </w:tc>
      </w:tr>
      <w:tr>
        <w:tc>
          <w:tcPr>
            <w:tcW w:type="dxa" w:w="3855"/>
          </w:tcPr>
          <w:p>
            <w:pPr>
              <w:spacing w:before="0" w:after="0"/>
              <w:ind w:firstLine="0"/>
              <w:jc w:val="left"/>
            </w:pPr>
            <w:r>
              <w:rPr>
                <w:rFonts w:ascii="Times New Roman" w:hAnsi="Times New Roman"/>
                <w:sz w:val="22"/>
              </w:rPr>
              <w:t>F4 — HGA Piețe Energetice</w:t>
            </w:r>
          </w:p>
        </w:tc>
        <w:tc>
          <w:tcPr>
            <w:tcW w:type="dxa" w:w="3855"/>
          </w:tcPr>
          <w:p>
            <w:pPr>
              <w:spacing w:before="0" w:after="0"/>
              <w:ind w:firstLine="0"/>
              <w:jc w:val="left"/>
            </w:pPr>
            <w:r>
              <w:rPr>
                <w:rFonts w:ascii="Times New Roman" w:hAnsi="Times New Roman"/>
                <w:sz w:val="22"/>
              </w:rPr>
              <w:t>Comision pe valoarea creată prin participarea ca centrală virtuală (VPP) pe OPCOM PZU + arbitraj multi-vector. Financial Holistic Delta ≥30% față de electric-only. Marjă 50–65%.</w:t>
            </w:r>
          </w:p>
        </w:tc>
      </w:tr>
      <w:tr>
        <w:tc>
          <w:tcPr>
            <w:tcW w:type="dxa" w:w="3855"/>
          </w:tcPr>
          <w:p>
            <w:pPr>
              <w:spacing w:before="0" w:after="0"/>
              <w:ind w:firstLine="0"/>
              <w:jc w:val="left"/>
            </w:pPr>
            <w:r>
              <w:rPr>
                <w:rFonts w:ascii="Times New Roman" w:hAnsi="Times New Roman"/>
                <w:sz w:val="22"/>
              </w:rPr>
              <w:t>F5 — HGA Carbon &amp; Certificate</w:t>
            </w:r>
          </w:p>
        </w:tc>
        <w:tc>
          <w:tcPr>
            <w:tcW w:type="dxa" w:w="3855"/>
          </w:tcPr>
          <w:p>
            <w:pPr>
              <w:spacing w:before="0" w:after="0"/>
              <w:ind w:firstLine="0"/>
              <w:jc w:val="left"/>
            </w:pPr>
            <w:r>
              <w:rPr>
                <w:rFonts w:ascii="Times New Roman" w:hAnsi="Times New Roman"/>
                <w:sz w:val="22"/>
              </w:rPr>
              <w:t>Pooling BCR credits (125–150 USD/tCO₂e) + certificate verzi agregate. Prețuri superioare față de vânzări individuale de volum mic. Recurent, crește cu scalarea biochar.</w:t>
            </w:r>
          </w:p>
        </w:tc>
      </w:tr>
      <w:tr>
        <w:tc>
          <w:tcPr>
            <w:tcW w:type="dxa" w:w="3855"/>
          </w:tcPr>
          <w:p>
            <w:pPr>
              <w:spacing w:before="0" w:after="0"/>
              <w:ind w:firstLine="0"/>
              <w:jc w:val="left"/>
            </w:pPr>
            <w:r>
              <w:rPr>
                <w:rFonts w:ascii="Times New Roman" w:hAnsi="Times New Roman"/>
                <w:sz w:val="22"/>
              </w:rPr>
              <w:t>F6 — HGA Optimizare Financiară ca Serviciu</w:t>
            </w:r>
          </w:p>
        </w:tc>
        <w:tc>
          <w:tcPr>
            <w:tcW w:type="dxa" w:w="3855"/>
          </w:tcPr>
          <w:p>
            <w:pPr>
              <w:spacing w:before="0" w:after="0"/>
              <w:ind w:firstLine="0"/>
              <w:jc w:val="left"/>
            </w:pPr>
            <w:r>
              <w:rPr>
                <w:rFonts w:ascii="Times New Roman" w:hAnsi="Times New Roman"/>
                <w:sz w:val="22"/>
              </w:rPr>
              <w:t>ScenarioLab + HGA tandem: optimizare simultană exergetică și financiară. Tarifat ca serviciu de consultanță algoritmică cu performanță garantată (% din delta financiar generat).</w:t>
            </w:r>
          </w:p>
        </w:tc>
      </w:tr>
    </w:tbl>
    <w:p>
      <w:pPr>
        <w:ind w:firstLine="0"/>
      </w:pPr>
    </w:p>
    <w:p>
      <w:pPr>
        <w:ind w:firstLine="0"/>
      </w:pPr>
    </w:p>
    <w:p>
      <w:pPr>
        <w:pStyle w:val="SubHeading"/>
        <w:keepNext/>
      </w:pPr>
      <w:r>
        <w:t>4.4 Categoria iii — servicii fizice (4 fluxuri)</w:t>
      </w:r>
    </w:p>
    <w:p>
      <w:pPr>
        <w:ind w:firstLine="0"/>
      </w:pPr>
    </w:p>
    <w:p>
      <w:pPr/>
      <w:r>
        <w:t>Analiza financiară a fluxurilor principale este ilustrată în Tabelul 11.</w:t>
      </w:r>
    </w:p>
    <w:p>
      <w:pPr>
        <w:ind w:firstLine="0"/>
      </w:pPr>
    </w:p>
    <w:p>
      <w:pPr>
        <w:pStyle w:val="TableCaption"/>
      </w:pPr>
      <w:r>
        <w:t>Tabel 11. Analiza financiară a fluxurilor principale</w:t>
      </w:r>
    </w:p>
    <w:tbl>
      <w:tblPr>
        <w:tblStyle w:val="TableGrid"/>
        <w:tblW w:type="auto" w:w="0"/>
        <w:jc w:val="center"/>
        <w:tblLook w:firstColumn="1" w:firstRow="1" w:lastColumn="0" w:lastRow="0" w:noHBand="0" w:noVBand="1" w:val="04A0"/>
      </w:tblPr>
      <w:tblGrid>
        <w:gridCol w:w="3855"/>
        <w:gridCol w:w="3855"/>
      </w:tblGrid>
      <w:tr>
        <w:tc>
          <w:tcPr>
            <w:tcW w:type="dxa" w:w="3855"/>
          </w:tcPr>
          <w:p>
            <w:pPr>
              <w:spacing w:before="0" w:after="0"/>
              <w:ind w:firstLine="0"/>
              <w:jc w:val="left"/>
            </w:pPr>
            <w:r>
              <w:rPr>
                <w:rFonts w:ascii="Times New Roman" w:hAnsi="Times New Roman"/>
                <w:b/>
                <w:sz w:val="22"/>
              </w:rPr>
              <w:t>Flux</w:t>
            </w:r>
          </w:p>
        </w:tc>
        <w:tc>
          <w:tcPr>
            <w:tcW w:type="dxa" w:w="3855"/>
          </w:tcPr>
          <w:p>
            <w:pPr>
              <w:spacing w:before="0" w:after="0"/>
              <w:ind w:firstLine="0"/>
              <w:jc w:val="left"/>
            </w:pPr>
            <w:r>
              <w:rPr>
                <w:rFonts w:ascii="Times New Roman" w:hAnsi="Times New Roman"/>
                <w:b/>
                <w:sz w:val="22"/>
              </w:rPr>
              <w:t>Descriere și Caracteristici Financiare</w:t>
            </w:r>
          </w:p>
        </w:tc>
      </w:tr>
      <w:tr>
        <w:tc>
          <w:tcPr>
            <w:tcW w:type="dxa" w:w="3855"/>
          </w:tcPr>
          <w:p>
            <w:pPr>
              <w:spacing w:before="0" w:after="0"/>
              <w:ind w:firstLine="0"/>
              <w:jc w:val="left"/>
            </w:pPr>
            <w:r>
              <w:rPr>
                <w:rFonts w:ascii="Times New Roman" w:hAnsi="Times New Roman"/>
                <w:sz w:val="22"/>
              </w:rPr>
              <w:t>F7 — Servicii ESCO</w:t>
            </w:r>
          </w:p>
        </w:tc>
        <w:tc>
          <w:tcPr>
            <w:tcW w:type="dxa" w:w="3855"/>
          </w:tcPr>
          <w:p>
            <w:pPr>
              <w:spacing w:before="0" w:after="0"/>
              <w:ind w:firstLine="0"/>
              <w:jc w:val="left"/>
            </w:pPr>
            <w:r>
              <w:rPr>
                <w:rFonts w:ascii="Times New Roman" w:hAnsi="Times New Roman"/>
                <w:sz w:val="22"/>
              </w:rPr>
              <w:t>Energy Performance Contracting (EPC) cu garanție de performanță exergetică (η_ex ≥70%). Plată din economii generate. Cel mai mare flux în fazele incipiente. Marjă 25–40%.</w:t>
            </w:r>
          </w:p>
        </w:tc>
      </w:tr>
      <w:tr>
        <w:tc>
          <w:tcPr>
            <w:tcW w:type="dxa" w:w="3855"/>
          </w:tcPr>
          <w:p>
            <w:pPr>
              <w:spacing w:before="0" w:after="0"/>
              <w:ind w:firstLine="0"/>
              <w:jc w:val="left"/>
            </w:pPr>
            <w:r>
              <w:rPr>
                <w:rFonts w:ascii="Times New Roman" w:hAnsi="Times New Roman"/>
                <w:sz w:val="22"/>
              </w:rPr>
              <w:t>F8 — Consultanță + Analytics</w:t>
            </w:r>
          </w:p>
        </w:tc>
        <w:tc>
          <w:tcPr>
            <w:tcW w:type="dxa" w:w="3855"/>
          </w:tcPr>
          <w:p>
            <w:pPr>
              <w:spacing w:before="0" w:after="0"/>
              <w:ind w:firstLine="0"/>
              <w:jc w:val="left"/>
            </w:pPr>
            <w:r>
              <w:rPr>
                <w:rFonts w:ascii="Times New Roman" w:hAnsi="Times New Roman"/>
                <w:sz w:val="22"/>
              </w:rPr>
              <w:t>Proiecte de analiză exergetică teritorială, audit, masterplan tranziție energetică, rapoarte diagnostic. Tarifat proiect/oră. Marjă 60–75%.</w:t>
            </w:r>
          </w:p>
        </w:tc>
      </w:tr>
      <w:tr>
        <w:tc>
          <w:tcPr>
            <w:tcW w:type="dxa" w:w="3855"/>
          </w:tcPr>
          <w:p>
            <w:pPr>
              <w:spacing w:before="0" w:after="0"/>
              <w:ind w:firstLine="0"/>
              <w:jc w:val="left"/>
            </w:pPr>
            <w:r>
              <w:rPr>
                <w:rFonts w:ascii="Times New Roman" w:hAnsi="Times New Roman"/>
                <w:sz w:val="22"/>
              </w:rPr>
              <w:t>F9 — Management HUB</w:t>
            </w:r>
          </w:p>
        </w:tc>
        <w:tc>
          <w:tcPr>
            <w:tcW w:type="dxa" w:w="3855"/>
          </w:tcPr>
          <w:p>
            <w:pPr>
              <w:spacing w:before="0" w:after="0"/>
              <w:ind w:firstLine="0"/>
              <w:jc w:val="left"/>
            </w:pPr>
            <w:r>
              <w:rPr>
                <w:rFonts w:ascii="Times New Roman" w:hAnsi="Times New Roman"/>
                <w:sz w:val="22"/>
              </w:rPr>
              <w:t>Contract pe termen lung (5–15 ani) pentru operarea și optimizarea infrastructurii fizice. Recurent stabil, crește cu numărul de HUB-uri active. Marjă 30–45%.</w:t>
            </w:r>
          </w:p>
        </w:tc>
      </w:tr>
      <w:tr>
        <w:tc>
          <w:tcPr>
            <w:tcW w:type="dxa" w:w="3855"/>
          </w:tcPr>
          <w:p>
            <w:pPr>
              <w:spacing w:before="0" w:after="0"/>
              <w:ind w:firstLine="0"/>
              <w:jc w:val="left"/>
            </w:pPr>
            <w:r>
              <w:rPr>
                <w:rFonts w:ascii="Times New Roman" w:hAnsi="Times New Roman"/>
                <w:sz w:val="22"/>
              </w:rPr>
              <w:t>F10 — EquityX Parteneriate</w:t>
            </w:r>
          </w:p>
        </w:tc>
        <w:tc>
          <w:tcPr>
            <w:tcW w:type="dxa" w:w="3855"/>
          </w:tcPr>
          <w:p>
            <w:pPr>
              <w:spacing w:before="0" w:after="0"/>
              <w:ind w:firstLine="0"/>
              <w:jc w:val="left"/>
            </w:pPr>
            <w:r>
              <w:rPr>
                <w:rFonts w:ascii="Times New Roman" w:hAnsi="Times New Roman"/>
                <w:sz w:val="22"/>
              </w:rPr>
              <w:t>Taxă onboarding + comision rev-share + management fee pentru cele 7 tipologii (TEC, FIN, ESCO, PUB, ACA, COM, NEX). Community benefit clause ≥10%.</w:t>
            </w:r>
          </w:p>
        </w:tc>
      </w:tr>
    </w:tbl>
    <w:p>
      <w:pPr>
        <w:ind w:firstLine="0"/>
      </w:pPr>
    </w:p>
    <w:p>
      <w:pPr>
        <w:ind w:firstLine="0"/>
      </w:pPr>
    </w:p>
    <w:p>
      <w:pPr>
        <w:pStyle w:val="SubHeading"/>
        <w:keepNext/>
      </w:pPr>
      <w:r>
        <w:t>4.5 Categoria iv — proprietate intelectuală (3 fluxuri)</w:t>
      </w:r>
    </w:p>
    <w:p>
      <w:pPr>
        <w:ind w:firstLine="0"/>
      </w:pPr>
    </w:p>
    <w:p>
      <w:pPr/>
      <w:r>
        <w:t>Fluxurile operaționale și parametrii financiari se regăsesc în Tabelul 12.</w:t>
      </w:r>
    </w:p>
    <w:p>
      <w:pPr>
        <w:ind w:firstLine="0"/>
      </w:pPr>
    </w:p>
    <w:p>
      <w:pPr>
        <w:pStyle w:val="TableCaption"/>
      </w:pPr>
      <w:r>
        <w:t>Tabel 12. Fluxurile operaționale și parametrii financiari</w:t>
      </w:r>
    </w:p>
    <w:tbl>
      <w:tblPr>
        <w:tblStyle w:val="TableGrid"/>
        <w:tblW w:type="auto" w:w="0"/>
        <w:jc w:val="center"/>
        <w:tblLook w:firstColumn="1" w:firstRow="1" w:lastColumn="0" w:lastRow="0" w:noHBand="0" w:noVBand="1" w:val="04A0"/>
      </w:tblPr>
      <w:tblGrid>
        <w:gridCol w:w="3855"/>
        <w:gridCol w:w="3855"/>
      </w:tblGrid>
      <w:tr>
        <w:tc>
          <w:tcPr>
            <w:tcW w:type="dxa" w:w="3855"/>
          </w:tcPr>
          <w:p>
            <w:pPr>
              <w:spacing w:before="0" w:after="0"/>
              <w:ind w:firstLine="0"/>
              <w:jc w:val="left"/>
            </w:pPr>
            <w:r>
              <w:rPr>
                <w:rFonts w:ascii="Times New Roman" w:hAnsi="Times New Roman"/>
                <w:b/>
                <w:sz w:val="22"/>
              </w:rPr>
              <w:t>Flux</w:t>
            </w:r>
          </w:p>
        </w:tc>
        <w:tc>
          <w:tcPr>
            <w:tcW w:type="dxa" w:w="3855"/>
          </w:tcPr>
          <w:p>
            <w:pPr>
              <w:spacing w:before="0" w:after="0"/>
              <w:ind w:firstLine="0"/>
              <w:jc w:val="left"/>
            </w:pPr>
            <w:r>
              <w:rPr>
                <w:rFonts w:ascii="Times New Roman" w:hAnsi="Times New Roman"/>
                <w:b/>
                <w:sz w:val="22"/>
              </w:rPr>
              <w:t>Descriere și Caracteristici Financiare</w:t>
            </w:r>
          </w:p>
        </w:tc>
      </w:tr>
      <w:tr>
        <w:tc>
          <w:tcPr>
            <w:tcW w:type="dxa" w:w="3855"/>
          </w:tcPr>
          <w:p>
            <w:pPr>
              <w:spacing w:before="0" w:after="0"/>
              <w:ind w:firstLine="0"/>
              <w:jc w:val="left"/>
            </w:pPr>
            <w:r>
              <w:rPr>
                <w:rFonts w:ascii="Times New Roman" w:hAnsi="Times New Roman"/>
                <w:sz w:val="22"/>
              </w:rPr>
              <w:t>F11 — Certificare E→A+</w:t>
            </w:r>
          </w:p>
        </w:tc>
        <w:tc>
          <w:tcPr>
            <w:tcW w:type="dxa" w:w="3855"/>
          </w:tcPr>
          <w:p>
            <w:pPr>
              <w:spacing w:before="0" w:after="0"/>
              <w:ind w:firstLine="0"/>
              <w:jc w:val="left"/>
            </w:pPr>
            <w:r>
              <w:rPr>
                <w:rFonts w:ascii="Times New Roman" w:hAnsi="Times New Roman"/>
                <w:sz w:val="22"/>
              </w:rPr>
              <w:t>Taxă anuală certificare exergetică comunitară + taxă audit independent + royalty utilizare marcă "Exergy Certified". Marjă 80–90%.</w:t>
            </w:r>
          </w:p>
        </w:tc>
      </w:tr>
      <w:tr>
        <w:tc>
          <w:tcPr>
            <w:tcW w:type="dxa" w:w="3855"/>
          </w:tcPr>
          <w:p>
            <w:pPr>
              <w:spacing w:before="0" w:after="0"/>
              <w:ind w:firstLine="0"/>
              <w:jc w:val="left"/>
            </w:pPr>
            <w:r>
              <w:rPr>
                <w:rFonts w:ascii="Times New Roman" w:hAnsi="Times New Roman"/>
                <w:sz w:val="22"/>
              </w:rPr>
              <w:t>F12 — Licențiere Brevete</w:t>
            </w:r>
          </w:p>
        </w:tc>
        <w:tc>
          <w:tcPr>
            <w:tcW w:type="dxa" w:w="3855"/>
          </w:tcPr>
          <w:p>
            <w:pPr>
              <w:spacing w:before="0" w:after="0"/>
              <w:ind w:firstLine="0"/>
              <w:jc w:val="left"/>
            </w:pPr>
            <w:r>
              <w:rPr>
                <w:rFonts w:ascii="Times New Roman" w:hAnsi="Times New Roman"/>
                <w:sz w:val="22"/>
              </w:rPr>
              <w:t>Royalties pentru 17+ elemente brevetabile (HGA, cascadă AI, EBI, ScenarioLab etc.). Strategie: Defensive Patent License (DPL) + comercial selectiv. Marjă 90–95%.</w:t>
            </w:r>
          </w:p>
        </w:tc>
      </w:tr>
      <w:tr>
        <w:tc>
          <w:tcPr>
            <w:tcW w:type="dxa" w:w="3855"/>
          </w:tcPr>
          <w:p>
            <w:pPr>
              <w:spacing w:before="0" w:after="0"/>
              <w:ind w:firstLine="0"/>
              <w:jc w:val="left"/>
            </w:pPr>
            <w:r>
              <w:rPr>
                <w:rFonts w:ascii="Times New Roman" w:hAnsi="Times New Roman"/>
                <w:sz w:val="22"/>
              </w:rPr>
              <w:t>F13 — Brand Licensing</w:t>
            </w:r>
          </w:p>
        </w:tc>
        <w:tc>
          <w:tcPr>
            <w:tcW w:type="dxa" w:w="3855"/>
          </w:tcPr>
          <w:p>
            <w:pPr>
              <w:spacing w:before="0" w:after="0"/>
              <w:ind w:firstLine="0"/>
              <w:jc w:val="left"/>
            </w:pPr>
            <w:r>
              <w:rPr>
                <w:rFonts w:ascii="Times New Roman" w:hAnsi="Times New Roman"/>
                <w:sz w:val="22"/>
              </w:rPr>
              <w:t>Taxă anuală utilizare mărci EUIPO: "Exergy Community", "Exergy HUB", "Exergy Box", "Sport-to-Energy", "SymbiotyX Pod". Creș cu scalarea ecosistemului. Marjă 85–95%.</w:t>
            </w:r>
          </w:p>
        </w:tc>
      </w:tr>
    </w:tbl>
    <w:p>
      <w:pPr>
        <w:ind w:firstLine="0"/>
      </w:pPr>
    </w:p>
    <w:p>
      <w:pPr>
        <w:ind w:firstLine="0"/>
      </w:pPr>
    </w:p>
    <w:p>
      <w:pPr>
        <w:pStyle w:val="SubHeading"/>
        <w:keepNext/>
      </w:pPr>
      <w:r>
        <w:t>4.6 Categoria v — ecosistem &amp; impact (3 fluxuri + 5 surse suplimentare)</w:t>
      </w:r>
    </w:p>
    <w:p>
      <w:pPr>
        <w:ind w:firstLine="0"/>
      </w:pPr>
    </w:p>
    <w:p>
      <w:pPr/>
      <w:r>
        <w:t>Sursele de flux și caracteristicile asociate sunt descrise în Tabelul 13.</w:t>
      </w:r>
    </w:p>
    <w:p>
      <w:pPr>
        <w:ind w:firstLine="0"/>
      </w:pPr>
    </w:p>
    <w:p>
      <w:pPr>
        <w:pStyle w:val="TableCaption"/>
      </w:pPr>
      <w:r>
        <w:t>Tabel 13. Sursele de flux și caracteristicile asociate</w:t>
      </w:r>
    </w:p>
    <w:tbl>
      <w:tblPr>
        <w:tblStyle w:val="TableGrid"/>
        <w:tblW w:type="auto" w:w="0"/>
        <w:jc w:val="center"/>
        <w:tblLook w:firstColumn="1" w:firstRow="1" w:lastColumn="0" w:lastRow="0" w:noHBand="0" w:noVBand="1" w:val="04A0"/>
      </w:tblPr>
      <w:tblGrid>
        <w:gridCol w:w="3855"/>
        <w:gridCol w:w="3855"/>
      </w:tblGrid>
      <w:tr>
        <w:tc>
          <w:tcPr>
            <w:tcW w:type="dxa" w:w="3855"/>
          </w:tcPr>
          <w:p>
            <w:pPr>
              <w:spacing w:before="0" w:after="0"/>
              <w:ind w:firstLine="0"/>
              <w:jc w:val="left"/>
            </w:pPr>
            <w:r>
              <w:rPr>
                <w:rFonts w:ascii="Times New Roman" w:hAnsi="Times New Roman"/>
                <w:b/>
                <w:sz w:val="22"/>
              </w:rPr>
              <w:t>Flux / Sursă</w:t>
            </w:r>
          </w:p>
        </w:tc>
        <w:tc>
          <w:tcPr>
            <w:tcW w:type="dxa" w:w="3855"/>
          </w:tcPr>
          <w:p>
            <w:pPr>
              <w:spacing w:before="0" w:after="0"/>
              <w:ind w:firstLine="0"/>
              <w:jc w:val="left"/>
            </w:pPr>
            <w:r>
              <w:rPr>
                <w:rFonts w:ascii="Times New Roman" w:hAnsi="Times New Roman"/>
                <w:b/>
                <w:sz w:val="22"/>
              </w:rPr>
              <w:t>Descriere și Caracteristici</w:t>
            </w:r>
          </w:p>
        </w:tc>
      </w:tr>
      <w:tr>
        <w:tc>
          <w:tcPr>
            <w:tcW w:type="dxa" w:w="3855"/>
          </w:tcPr>
          <w:p>
            <w:pPr>
              <w:spacing w:before="0" w:after="0"/>
              <w:ind w:firstLine="0"/>
              <w:jc w:val="left"/>
            </w:pPr>
            <w:r>
              <w:rPr>
                <w:rFonts w:ascii="Times New Roman" w:hAnsi="Times New Roman"/>
                <w:sz w:val="22"/>
              </w:rPr>
              <w:t>F14 — Educație EnEx Institute</w:t>
            </w:r>
          </w:p>
        </w:tc>
        <w:tc>
          <w:tcPr>
            <w:tcW w:type="dxa" w:w="3855"/>
          </w:tcPr>
          <w:p>
            <w:pPr>
              <w:spacing w:before="0" w:after="0"/>
              <w:ind w:firstLine="0"/>
              <w:jc w:val="left"/>
            </w:pPr>
            <w:r>
              <w:rPr>
                <w:rFonts w:ascii="Times New Roman" w:hAnsi="Times New Roman"/>
                <w:sz w:val="22"/>
              </w:rPr>
              <w:t>Taxă per curs (online + prezențial): termodinamică aplicată, certificare exergetică, EMS operator, ReCarbon specialist. Scalabil global prin Open-X Education.</w:t>
            </w:r>
          </w:p>
        </w:tc>
      </w:tr>
      <w:tr>
        <w:tc>
          <w:tcPr>
            <w:tcW w:type="dxa" w:w="3855"/>
          </w:tcPr>
          <w:p>
            <w:pPr>
              <w:spacing w:before="0" w:after="0"/>
              <w:ind w:firstLine="0"/>
              <w:jc w:val="left"/>
            </w:pPr>
            <w:r>
              <w:rPr>
                <w:rFonts w:ascii="Times New Roman" w:hAnsi="Times New Roman"/>
                <w:sz w:val="22"/>
              </w:rPr>
              <w:t>F15 — Exergy Consortium</w:t>
            </w:r>
          </w:p>
        </w:tc>
        <w:tc>
          <w:tcPr>
            <w:tcW w:type="dxa" w:w="3855"/>
          </w:tcPr>
          <w:p>
            <w:pPr>
              <w:spacing w:before="0" w:after="0"/>
              <w:ind w:firstLine="0"/>
              <w:jc w:val="left"/>
            </w:pPr>
            <w:r>
              <w:rPr>
                <w:rFonts w:ascii="Times New Roman" w:hAnsi="Times New Roman"/>
                <w:sz w:val="22"/>
              </w:rPr>
              <w:t>Taxă membership + revenue share din proiecte comune + acces la date agregatе + protocol interoperabilitate. Crește cu numărul de comunități membre.</w:t>
            </w:r>
          </w:p>
        </w:tc>
      </w:tr>
      <w:tr>
        <w:tc>
          <w:tcPr>
            <w:tcW w:type="dxa" w:w="3855"/>
          </w:tcPr>
          <w:p>
            <w:pPr>
              <w:spacing w:before="0" w:after="0"/>
              <w:ind w:firstLine="0"/>
              <w:jc w:val="left"/>
            </w:pPr>
            <w:r>
              <w:rPr>
                <w:rFonts w:ascii="Times New Roman" w:hAnsi="Times New Roman"/>
                <w:sz w:val="22"/>
              </w:rPr>
              <w:t>F16 — SolidarityX Impact Investing</w:t>
            </w:r>
          </w:p>
        </w:tc>
        <w:tc>
          <w:tcPr>
            <w:tcW w:type="dxa" w:w="3855"/>
          </w:tcPr>
          <w:p>
            <w:pPr>
              <w:spacing w:before="0" w:after="0"/>
              <w:ind w:firstLine="0"/>
              <w:jc w:val="left"/>
            </w:pPr>
            <w:r>
              <w:rPr>
                <w:rFonts w:ascii="Times New Roman" w:hAnsi="Times New Roman"/>
                <w:sz w:val="22"/>
              </w:rPr>
              <w:t>Granturi UE (Horizon Europe, Innovation Fund) + impact investing ESG + green bonds Exergy Coop (0,5–2M €/comunitate) aliniate EU Green Bond Standard.</w:t>
            </w:r>
          </w:p>
        </w:tc>
      </w:tr>
      <w:tr>
        <w:tc>
          <w:tcPr>
            <w:tcW w:type="dxa" w:w="3855"/>
          </w:tcPr>
          <w:p>
            <w:pPr>
              <w:spacing w:before="0" w:after="0"/>
              <w:ind w:firstLine="0"/>
              <w:jc w:val="left"/>
            </w:pPr>
            <w:r>
              <w:rPr>
                <w:rFonts w:ascii="Times New Roman" w:hAnsi="Times New Roman"/>
                <w:sz w:val="22"/>
              </w:rPr>
              <w:t>S1 — Hardware Premium (Box recondiționat)</w:t>
            </w:r>
          </w:p>
        </w:tc>
        <w:tc>
          <w:tcPr>
            <w:tcW w:type="dxa" w:w="3855"/>
          </w:tcPr>
          <w:p>
            <w:pPr>
              <w:spacing w:before="0" w:after="0"/>
              <w:ind w:firstLine="0"/>
              <w:jc w:val="left"/>
            </w:pPr>
            <w:r>
              <w:rPr>
                <w:rFonts w:ascii="Times New Roman" w:hAnsi="Times New Roman"/>
                <w:sz w:val="22"/>
              </w:rPr>
              <w:t>Buyback + recondiționare + revânzare Box-uri la comunități în faze incipiente. Economie circulară aplicată propriei infrastructuri.</w:t>
            </w:r>
          </w:p>
        </w:tc>
      </w:tr>
      <w:tr>
        <w:tc>
          <w:tcPr>
            <w:tcW w:type="dxa" w:w="3855"/>
          </w:tcPr>
          <w:p>
            <w:pPr>
              <w:spacing w:before="0" w:after="0"/>
              <w:ind w:firstLine="0"/>
              <w:jc w:val="left"/>
            </w:pPr>
            <w:r>
              <w:rPr>
                <w:rFonts w:ascii="Times New Roman" w:hAnsi="Times New Roman"/>
                <w:sz w:val="22"/>
              </w:rPr>
              <w:t>S2 — Asigurare Performanță Exergetică</w:t>
            </w:r>
          </w:p>
        </w:tc>
        <w:tc>
          <w:tcPr>
            <w:tcW w:type="dxa" w:w="3855"/>
          </w:tcPr>
          <w:p>
            <w:pPr>
              <w:spacing w:before="0" w:after="0"/>
              <w:ind w:firstLine="0"/>
              <w:jc w:val="left"/>
            </w:pPr>
            <w:r>
              <w:rPr>
                <w:rFonts w:ascii="Times New Roman" w:hAnsi="Times New Roman"/>
                <w:sz w:val="22"/>
              </w:rPr>
              <w:t>Produs de asigurare pentru garanția η_ex ≥70% (parteneriat cu asigurători specializați). Inovație financiară fără precedent în piața energiei.</w:t>
            </w:r>
          </w:p>
        </w:tc>
      </w:tr>
      <w:tr>
        <w:tc>
          <w:tcPr>
            <w:tcW w:type="dxa" w:w="3855"/>
          </w:tcPr>
          <w:p>
            <w:pPr>
              <w:spacing w:before="0" w:after="0"/>
              <w:ind w:firstLine="0"/>
              <w:jc w:val="left"/>
            </w:pPr>
            <w:r>
              <w:rPr>
                <w:rFonts w:ascii="Times New Roman" w:hAnsi="Times New Roman"/>
                <w:sz w:val="22"/>
              </w:rPr>
              <w:t>S3 — Exergy University (MOOC)</w:t>
            </w:r>
          </w:p>
        </w:tc>
        <w:tc>
          <w:tcPr>
            <w:tcW w:type="dxa" w:w="3855"/>
          </w:tcPr>
          <w:p>
            <w:pPr>
              <w:spacing w:before="0" w:after="0"/>
              <w:ind w:firstLine="0"/>
              <w:jc w:val="left"/>
            </w:pPr>
            <w:r>
              <w:rPr>
                <w:rFonts w:ascii="Times New Roman" w:hAnsi="Times New Roman"/>
                <w:sz w:val="22"/>
              </w:rPr>
              <w:t>Platform MOOC multi-limbă pe energetică exergetică. Taxă per certificat + parteneriate universități. Creștere exponențială cu Open-X Education.</w:t>
            </w:r>
          </w:p>
        </w:tc>
      </w:tr>
      <w:tr>
        <w:tc>
          <w:tcPr>
            <w:tcW w:type="dxa" w:w="3855"/>
          </w:tcPr>
          <w:p>
            <w:pPr>
              <w:spacing w:before="0" w:after="0"/>
              <w:ind w:firstLine="0"/>
              <w:jc w:val="left"/>
            </w:pPr>
            <w:r>
              <w:rPr>
                <w:rFonts w:ascii="Times New Roman" w:hAnsi="Times New Roman"/>
                <w:sz w:val="22"/>
              </w:rPr>
              <w:t>S4 — Carbon Forward Contracts</w:t>
            </w:r>
          </w:p>
        </w:tc>
        <w:tc>
          <w:tcPr>
            <w:tcW w:type="dxa" w:w="3855"/>
          </w:tcPr>
          <w:p>
            <w:pPr>
              <w:spacing w:before="0" w:after="0"/>
              <w:ind w:firstLine="0"/>
              <w:jc w:val="left"/>
            </w:pPr>
            <w:r>
              <w:rPr>
                <w:rFonts w:ascii="Times New Roman" w:hAnsi="Times New Roman"/>
                <w:sz w:val="22"/>
              </w:rPr>
              <w:t>Contracte forward pentru livrarea viitoare de BCR credits la prețuri fixate, pe baza producției garantate de biochar din SynTech activ.</w:t>
            </w:r>
          </w:p>
        </w:tc>
      </w:tr>
      <w:tr>
        <w:tc>
          <w:tcPr>
            <w:tcW w:type="dxa" w:w="3855"/>
          </w:tcPr>
          <w:p>
            <w:pPr>
              <w:spacing w:before="0" w:after="0"/>
              <w:ind w:firstLine="0"/>
              <w:jc w:val="left"/>
            </w:pPr>
            <w:r>
              <w:rPr>
                <w:rFonts w:ascii="Times New Roman" w:hAnsi="Times New Roman"/>
                <w:sz w:val="22"/>
              </w:rPr>
              <w:t>S5 — Exergy Index Fund</w:t>
            </w:r>
          </w:p>
        </w:tc>
        <w:tc>
          <w:tcPr>
            <w:tcW w:type="dxa" w:w="3855"/>
          </w:tcPr>
          <w:p>
            <w:pPr>
              <w:spacing w:before="0" w:after="0"/>
              <w:ind w:firstLine="0"/>
              <w:jc w:val="left"/>
            </w:pPr>
            <w:r>
              <w:rPr>
                <w:rFonts w:ascii="Times New Roman" w:hAnsi="Times New Roman"/>
                <w:sz w:val="22"/>
              </w:rPr>
              <w:t>Fond de investiții în infrastructura Exergy Community (pentru investitori instituționali ESG). Taxă management 1–2% AUM.</w:t>
            </w:r>
          </w:p>
        </w:tc>
      </w:tr>
    </w:tbl>
    <w:p>
      <w:pPr>
        <w:ind w:firstLine="0"/>
      </w:pPr>
    </w:p>
    <w:p>
      <w:pPr>
        <w:ind w:firstLine="0"/>
      </w:pPr>
    </w:p>
    <w:p>
      <w:pPr>
        <w:pStyle w:val="ChapterHeading"/>
        <w:keepNext/>
      </w:pPr>
      <w:r>
        <w:t>5. Aggregatorul Holistic Multi-vector — Inovația Centrală</w:t>
      </w:r>
    </w:p>
    <w:p>
      <w:pPr>
        <w:ind w:firstLine="0"/>
      </w:pPr>
    </w:p>
    <w:p>
      <w:pPr/>
      <w:r>
        <w:t>Cel mai semnificativ element structural al arhitecturii propuse, fără precedent demonstrat în practica actuală a agregatoarelor energetice la scară comunitară, este Aggregatorul Holistic Multi-Vector (HGA — Holistic Aggregator). Financial Holistic Delta ≥30% față de agregarea electric-only și Cross-Vector Synergy Gain ≥15–20% nu sunt estimări — sunt consecințe matematice ale optimizării simultane pe 13+ vectori față de optimizarea secvențială sau mono-vector.</w:t>
      </w:r>
    </w:p>
    <w:p>
      <w:pPr>
        <w:ind w:firstLine="0"/>
      </w:pPr>
    </w:p>
    <w:p>
      <w:pPr>
        <w:pStyle w:val="SubHeading"/>
        <w:keepNext/>
      </w:pPr>
      <w:r>
        <w:t>5.1 Diferențiatorul față de agregatoarele convenționale</w:t>
      </w:r>
    </w:p>
    <w:p>
      <w:pPr>
        <w:ind w:firstLine="0"/>
      </w:pPr>
    </w:p>
    <w:p>
      <w:pPr/>
      <w:r>
        <w:t>Tipurile de agregatori și capacitățile lor se pot observa în Tabelul 14.</w:t>
      </w:r>
    </w:p>
    <w:p>
      <w:pPr>
        <w:ind w:firstLine="0"/>
      </w:pPr>
    </w:p>
    <w:p>
      <w:pPr>
        <w:pStyle w:val="TableCaption"/>
      </w:pPr>
      <w:r>
        <w:t>Tabel 14. Tipurile de agregatori și capacitățile lor</w:t>
      </w:r>
    </w:p>
    <w:tbl>
      <w:tblPr>
        <w:tblStyle w:val="TableGrid"/>
        <w:tblW w:type="auto" w:w="0"/>
        <w:jc w:val="center"/>
        <w:tblLook w:firstColumn="1" w:firstRow="1" w:lastColumn="0" w:lastRow="0" w:noHBand="0" w:noVBand="1" w:val="04A0"/>
      </w:tblPr>
      <w:tblGrid>
        <w:gridCol w:w="3855"/>
        <w:gridCol w:w="3855"/>
      </w:tblGrid>
      <w:tr>
        <w:tc>
          <w:tcPr>
            <w:tcW w:type="dxa" w:w="3855"/>
          </w:tcPr>
          <w:p>
            <w:pPr>
              <w:spacing w:before="0" w:after="0"/>
              <w:ind w:firstLine="0"/>
              <w:jc w:val="left"/>
            </w:pPr>
            <w:r>
              <w:rPr>
                <w:rFonts w:ascii="Times New Roman" w:hAnsi="Times New Roman"/>
                <w:b/>
                <w:sz w:val="22"/>
              </w:rPr>
              <w:t>Tip Agregator</w:t>
            </w:r>
          </w:p>
        </w:tc>
        <w:tc>
          <w:tcPr>
            <w:tcW w:type="dxa" w:w="3855"/>
          </w:tcPr>
          <w:p>
            <w:pPr>
              <w:spacing w:before="0" w:after="0"/>
              <w:ind w:firstLine="0"/>
              <w:jc w:val="left"/>
            </w:pPr>
            <w:r>
              <w:rPr>
                <w:rFonts w:ascii="Times New Roman" w:hAnsi="Times New Roman"/>
                <w:b/>
                <w:sz w:val="22"/>
              </w:rPr>
              <w:t>Caracteristici și Limitări/Capabilități</w:t>
            </w:r>
          </w:p>
        </w:tc>
      </w:tr>
      <w:tr>
        <w:tc>
          <w:tcPr>
            <w:tcW w:type="dxa" w:w="3855"/>
          </w:tcPr>
          <w:p>
            <w:pPr>
              <w:spacing w:before="0" w:after="0"/>
              <w:ind w:firstLine="0"/>
              <w:jc w:val="left"/>
            </w:pPr>
            <w:r>
              <w:rPr>
                <w:rFonts w:ascii="Times New Roman" w:hAnsi="Times New Roman"/>
                <w:sz w:val="22"/>
              </w:rPr>
              <w:t>Agregatoare convenționale</w:t>
            </w:r>
          </w:p>
        </w:tc>
        <w:tc>
          <w:tcPr>
            <w:tcW w:type="dxa" w:w="3855"/>
          </w:tcPr>
          <w:p>
            <w:pPr>
              <w:spacing w:before="0" w:after="0"/>
              <w:ind w:firstLine="0"/>
              <w:jc w:val="left"/>
            </w:pPr>
            <w:r>
              <w:rPr>
                <w:rFonts w:ascii="Times New Roman" w:hAnsi="Times New Roman"/>
                <w:sz w:val="22"/>
              </w:rPr>
              <w:t>Operare pe 1 vector (exclusiv electric). Optimizare la nivel de piață OPCOM. Fără integrare termică, fără combustibili, fără carbon. Rezultat: suboptim sistemic garantat.</w:t>
            </w:r>
          </w:p>
        </w:tc>
      </w:tr>
      <w:tr>
        <w:tc>
          <w:tcPr>
            <w:tcW w:type="dxa" w:w="3855"/>
          </w:tcPr>
          <w:p>
            <w:pPr>
              <w:spacing w:before="0" w:after="0"/>
              <w:ind w:firstLine="0"/>
              <w:jc w:val="left"/>
            </w:pPr>
            <w:r>
              <w:rPr>
                <w:rFonts w:ascii="Times New Roman" w:hAnsi="Times New Roman"/>
                <w:sz w:val="22"/>
              </w:rPr>
              <w:t>Aggregator Holistic (HGA)</w:t>
            </w:r>
          </w:p>
        </w:tc>
        <w:tc>
          <w:tcPr>
            <w:tcW w:type="dxa" w:w="3855"/>
          </w:tcPr>
          <w:p>
            <w:pPr>
              <w:spacing w:before="0" w:after="0"/>
              <w:ind w:firstLine="0"/>
              <w:jc w:val="left"/>
            </w:pPr>
            <w:r>
              <w:rPr>
                <w:rFonts w:ascii="Times New Roman" w:hAnsi="Times New Roman"/>
                <w:sz w:val="22"/>
              </w:rPr>
              <w:t>Operare simultană pe 13+ vectori: electric, termic N1/N2/N3, SRF, biomasă, H₂, biogaz, stocare multi-tip, flexibilitate, financiar (OPCOM+carbon+certificate+subvenții), tokeni. Optimizare globală.</w:t>
            </w:r>
          </w:p>
        </w:tc>
      </w:tr>
    </w:tbl>
    <w:p>
      <w:pPr>
        <w:ind w:firstLine="0"/>
      </w:pPr>
    </w:p>
    <w:p>
      <w:pPr>
        <w:ind w:firstLine="0"/>
      </w:pPr>
    </w:p>
    <w:p>
      <w:pPr>
        <w:pStyle w:val="SubHeading"/>
        <w:keepNext/>
      </w:pPr>
      <w:r>
        <w:t>5.2 Cele 5 dimensiuni de optimizare simultană</w:t>
      </w:r>
    </w:p>
    <w:p>
      <w:pPr>
        <w:ind w:firstLine="0"/>
      </w:pPr>
    </w:p>
    <w:p>
      <w:pPr/>
      <w:r>
        <w:t>Dimensiunile strategice și câștigurile cuantificate sunt prezentate în Tabelul 15.</w:t>
      </w:r>
    </w:p>
    <w:p>
      <w:pPr>
        <w:ind w:firstLine="0"/>
      </w:pPr>
    </w:p>
    <w:p>
      <w:pPr>
        <w:pStyle w:val="TableCaption"/>
      </w:pPr>
      <w:r>
        <w:t>Tabel 15. Dimensiunile strategice și câștigurile cuantificate</w:t>
      </w:r>
    </w:p>
    <w:tbl>
      <w:tblPr>
        <w:tblStyle w:val="TableGrid"/>
        <w:tblW w:type="auto" w:w="0"/>
        <w:jc w:val="center"/>
        <w:tblLook w:firstColumn="1" w:firstRow="1" w:lastColumn="0" w:lastRow="0" w:noHBand="0" w:noVBand="1" w:val="04A0"/>
      </w:tblPr>
      <w:tblGrid>
        <w:gridCol w:w="3855"/>
        <w:gridCol w:w="3855"/>
      </w:tblGrid>
      <w:tr>
        <w:tc>
          <w:tcPr>
            <w:tcW w:type="dxa" w:w="3855"/>
          </w:tcPr>
          <w:p>
            <w:pPr>
              <w:spacing w:before="0" w:after="0"/>
              <w:ind w:firstLine="0"/>
              <w:jc w:val="left"/>
            </w:pPr>
            <w:r>
              <w:rPr>
                <w:rFonts w:ascii="Times New Roman" w:hAnsi="Times New Roman"/>
                <w:b/>
                <w:sz w:val="22"/>
              </w:rPr>
              <w:t>Dimensiune</w:t>
            </w:r>
          </w:p>
        </w:tc>
        <w:tc>
          <w:tcPr>
            <w:tcW w:type="dxa" w:w="3855"/>
          </w:tcPr>
          <w:p>
            <w:pPr>
              <w:spacing w:before="0" w:after="0"/>
              <w:ind w:firstLine="0"/>
              <w:jc w:val="left"/>
            </w:pPr>
            <w:r>
              <w:rPr>
                <w:rFonts w:ascii="Times New Roman" w:hAnsi="Times New Roman"/>
                <w:b/>
                <w:sz w:val="22"/>
              </w:rPr>
              <w:t>Conținut și Câștig Cuantificat</w:t>
            </w:r>
          </w:p>
        </w:tc>
      </w:tr>
      <w:tr>
        <w:tc>
          <w:tcPr>
            <w:tcW w:type="dxa" w:w="3855"/>
          </w:tcPr>
          <w:p>
            <w:pPr>
              <w:spacing w:before="0" w:after="0"/>
              <w:ind w:firstLine="0"/>
              <w:jc w:val="left"/>
            </w:pPr>
            <w:r>
              <w:rPr>
                <w:rFonts w:ascii="Times New Roman" w:hAnsi="Times New Roman"/>
                <w:sz w:val="22"/>
              </w:rPr>
              <w:t>Multi-Vector</w:t>
            </w:r>
          </w:p>
        </w:tc>
        <w:tc>
          <w:tcPr>
            <w:tcW w:type="dxa" w:w="3855"/>
          </w:tcPr>
          <w:p>
            <w:pPr>
              <w:spacing w:before="0" w:after="0"/>
              <w:ind w:firstLine="0"/>
              <w:jc w:val="left"/>
            </w:pPr>
            <w:r>
              <w:rPr>
                <w:rFonts w:ascii="Times New Roman" w:hAnsi="Times New Roman"/>
                <w:sz w:val="22"/>
              </w:rPr>
              <w:t>Optimizare simultană electric + termic 3 niveluri + SRF + H₂ + stocare + flexibilitate + carbon + tokeni. Câștig față de mono-vector: +15–20% (Cross-Vector Synergy Gain).</w:t>
            </w:r>
          </w:p>
        </w:tc>
      </w:tr>
      <w:tr>
        <w:tc>
          <w:tcPr>
            <w:tcW w:type="dxa" w:w="3855"/>
          </w:tcPr>
          <w:p>
            <w:pPr>
              <w:spacing w:before="0" w:after="0"/>
              <w:ind w:firstLine="0"/>
              <w:jc w:val="left"/>
            </w:pPr>
            <w:r>
              <w:rPr>
                <w:rFonts w:ascii="Times New Roman" w:hAnsi="Times New Roman"/>
                <w:sz w:val="22"/>
              </w:rPr>
              <w:t>Multi-Scară</w:t>
            </w:r>
          </w:p>
        </w:tc>
        <w:tc>
          <w:tcPr>
            <w:tcW w:type="dxa" w:w="3855"/>
          </w:tcPr>
          <w:p>
            <w:pPr>
              <w:spacing w:before="0" w:after="0"/>
              <w:ind w:firstLine="0"/>
              <w:jc w:val="left"/>
            </w:pPr>
            <w:r>
              <w:rPr>
                <w:rFonts w:ascii="Times New Roman" w:hAnsi="Times New Roman"/>
                <w:sz w:val="22"/>
              </w:rPr>
              <w:t>Optimizare de la sub-secundă (reglare Modul) la multi-decadal (Monte Carlo strategic). 6 orizonturi temporale: &lt;1s, 1min, 15min, zilnic, lunar, anual.</w:t>
            </w:r>
          </w:p>
        </w:tc>
      </w:tr>
      <w:tr>
        <w:tc>
          <w:tcPr>
            <w:tcW w:type="dxa" w:w="3855"/>
          </w:tcPr>
          <w:p>
            <w:pPr>
              <w:spacing w:before="0" w:after="0"/>
              <w:ind w:firstLine="0"/>
              <w:jc w:val="left"/>
            </w:pPr>
            <w:r>
              <w:rPr>
                <w:rFonts w:ascii="Times New Roman" w:hAnsi="Times New Roman"/>
                <w:sz w:val="22"/>
              </w:rPr>
              <w:t>Multi-Dimensiune</w:t>
            </w:r>
          </w:p>
        </w:tc>
        <w:tc>
          <w:tcPr>
            <w:tcW w:type="dxa" w:w="3855"/>
          </w:tcPr>
          <w:p>
            <w:pPr>
              <w:spacing w:before="0" w:after="0"/>
              <w:ind w:firstLine="0"/>
              <w:jc w:val="left"/>
            </w:pPr>
            <w:r>
              <w:rPr>
                <w:rFonts w:ascii="Times New Roman" w:hAnsi="Times New Roman"/>
                <w:sz w:val="22"/>
              </w:rPr>
              <w:t>Optimizare simultană tehnic (η_ex), financiar (LCOE, NPV), ecologic (CO₂, CEI) și social (EPI, PR). Funcție obiectiv multi-criterială cu ponderi configurabile.</w:t>
            </w:r>
          </w:p>
        </w:tc>
      </w:tr>
      <w:tr>
        <w:tc>
          <w:tcPr>
            <w:tcW w:type="dxa" w:w="3855"/>
          </w:tcPr>
          <w:p>
            <w:pPr>
              <w:spacing w:before="0" w:after="0"/>
              <w:ind w:firstLine="0"/>
              <w:jc w:val="left"/>
            </w:pPr>
            <w:r>
              <w:rPr>
                <w:rFonts w:ascii="Times New Roman" w:hAnsi="Times New Roman"/>
                <w:sz w:val="22"/>
              </w:rPr>
              <w:t>Multi-Temporal</w:t>
            </w:r>
          </w:p>
        </w:tc>
        <w:tc>
          <w:tcPr>
            <w:tcW w:type="dxa" w:w="3855"/>
          </w:tcPr>
          <w:p>
            <w:pPr>
              <w:spacing w:before="0" w:after="0"/>
              <w:ind w:firstLine="0"/>
              <w:jc w:val="left"/>
            </w:pPr>
            <w:r>
              <w:rPr>
                <w:rFonts w:ascii="Times New Roman" w:hAnsi="Times New Roman"/>
                <w:sz w:val="22"/>
              </w:rPr>
              <w:t>Arbitraj temporal: produce când prețul OPCOM e scăzut și stochează, exportă când prețul e maxim, importă când e minim. Integrat cu prognoze ML meteo + piață (LSTM/GRU, acuratețe ≥85%).</w:t>
            </w:r>
          </w:p>
        </w:tc>
      </w:tr>
      <w:tr>
        <w:tc>
          <w:tcPr>
            <w:tcW w:type="dxa" w:w="3855"/>
          </w:tcPr>
          <w:p>
            <w:pPr>
              <w:spacing w:before="0" w:after="0"/>
              <w:ind w:firstLine="0"/>
              <w:jc w:val="left"/>
            </w:pPr>
            <w:r>
              <w:rPr>
                <w:rFonts w:ascii="Times New Roman" w:hAnsi="Times New Roman"/>
                <w:sz w:val="22"/>
              </w:rPr>
              <w:t>Multi-Actor</w:t>
            </w:r>
          </w:p>
        </w:tc>
        <w:tc>
          <w:tcPr>
            <w:tcW w:type="dxa" w:w="3855"/>
          </w:tcPr>
          <w:p>
            <w:pPr>
              <w:spacing w:before="0" w:after="0"/>
              <w:ind w:firstLine="0"/>
              <w:jc w:val="left"/>
            </w:pPr>
            <w:r>
              <w:rPr>
                <w:rFonts w:ascii="Times New Roman" w:hAnsi="Times New Roman"/>
                <w:sz w:val="22"/>
              </w:rPr>
              <w:t>Coordonare prosumeri individuali, Exergy Coop, Consortium regional, piețe OPCOM, piața carbon, piața certificate, smart contracts inter-comunitare. Fiecare actor optimizat în context global.</w:t>
            </w:r>
          </w:p>
        </w:tc>
      </w:tr>
    </w:tbl>
    <w:p>
      <w:pPr>
        <w:ind w:firstLine="0"/>
      </w:pPr>
    </w:p>
    <w:p>
      <w:pPr>
        <w:ind w:firstLine="0"/>
      </w:pPr>
    </w:p>
    <w:p>
      <w:pPr>
        <w:pStyle w:val="SubHeading"/>
        <w:keepNext/>
      </w:pPr>
      <w:r>
        <w:t>5.3 Arhitectura ierarhică pe 3 niveluri</w:t>
      </w:r>
    </w:p>
    <w:p>
      <w:pPr>
        <w:ind w:firstLine="0"/>
      </w:pPr>
    </w:p>
    <w:p>
      <w:pPr/>
      <w:r>
        <w:t>HGA operează pe 3 niveluri ierarhice cu funcții distincte și complementare:</w:t>
      </w:r>
    </w:p>
    <w:p>
      <w:pPr>
        <w:pStyle w:val="ListParagraph"/>
        <w:ind w:left="1" w:hanging="1"/>
      </w:pPr>
      <w:r>
        <w:t>• Nivel 1 — Agregare Intra-Comunitară (EMS Grid): La nivelul fiecărei comunități, EMS Grid agregă producția, consumul, stocarea și flexibilitatea tuturor HUB-urilor, Micro-Grid-urilor și prosumerilor. Comunitatea apare în rețea ca un singur nod cu capabilități agregate pe toți vectorii.</w:t>
      </w:r>
    </w:p>
    <w:p>
      <w:pPr>
        <w:pStyle w:val="ListParagraph"/>
        <w:ind w:left="1" w:hanging="1"/>
      </w:pPr>
      <w:r>
        <w:t>• Nivel 2 — Agregare Inter-Comunitară (Exergy Online): Platforma Exergy Online agregă nodurile comunitare (Nivel 1) într-o meta-entitate cu putere de negociere, diversitate și previzibilitate superioare. Smart contracts automatizează tranzacțiile de combustibili, energie și certificate între comunități.</w:t>
      </w:r>
    </w:p>
    <w:p>
      <w:pPr>
        <w:pStyle w:val="ListParagraph"/>
        <w:ind w:left="1" w:hanging="1"/>
      </w:pPr>
      <w:r>
        <w:t>• Nivel 3 — Agregare pe Piețe Externe (Gateway): HGA prezintă meta-rețeaua ca entitate unică pe piețele externe: OPCOM (centrală virtuală), piața carbon (portofoliu BCR agregat), piața certificatelor verzi, piețe combustibili (ofertă agregată SRF/H₂/biomasă). Volumul agregat permite accesul la segmente inaccesibile individual.</w:t>
      </w:r>
    </w:p>
    <w:p>
      <w:pPr>
        <w:ind w:firstLine="0"/>
      </w:pPr>
    </w:p>
    <w:p>
      <w:pPr>
        <w:pStyle w:val="ChapterHeading"/>
        <w:keepNext/>
      </w:pPr>
      <w:r>
        <w:t>6. Cele 7 Bariere Strategice (Moat-uri) — Protecția Competitivă Compusă</w:t>
      </w:r>
    </w:p>
    <w:p>
      <w:pPr>
        <w:ind w:firstLine="0"/>
      </w:pPr>
    </w:p>
    <w:p>
      <w:pPr/>
      <w:r>
        <w:t>Complexitatea arhitecturală a Exergy Metasystem, deseori percepută ca vulnerabilitate în procesul de implementare, este de fapt generatoarea principalei bariere strategice: imposibilitatea replicării rapide de către competitori. Cele 7 moat-uri strategice formează un sistem de protecție compus — fiecare moat întărind eficiența celorlalte:</w:t>
      </w:r>
    </w:p>
    <w:p>
      <w:pPr/>
      <w:r>
        <w:t>Mecanismele de protecție strategică și durabilitatea sunt detaliate în Tabelul 16.</w:t>
      </w:r>
    </w:p>
    <w:p>
      <w:pPr>
        <w:ind w:firstLine="0"/>
      </w:pPr>
    </w:p>
    <w:p>
      <w:pPr>
        <w:pStyle w:val="TableCaption"/>
      </w:pPr>
      <w:r>
        <w:t>Tabel 16. Mecanismele de protecție strategică și durabilitatea</w:t>
      </w:r>
    </w:p>
    <w:tbl>
      <w:tblPr>
        <w:tblStyle w:val="TableGrid"/>
        <w:tblW w:type="auto" w:w="0"/>
        <w:jc w:val="center"/>
        <w:tblLook w:firstColumn="1" w:firstRow="1" w:lastColumn="0" w:lastRow="0" w:noHBand="0" w:noVBand="1" w:val="04A0"/>
      </w:tblPr>
      <w:tblGrid>
        <w:gridCol w:w="3855"/>
        <w:gridCol w:w="3855"/>
      </w:tblGrid>
      <w:tr>
        <w:tc>
          <w:tcPr>
            <w:tcW w:type="dxa" w:w="3855"/>
          </w:tcPr>
          <w:p>
            <w:pPr>
              <w:spacing w:before="0" w:after="0"/>
              <w:ind w:firstLine="0"/>
              <w:jc w:val="left"/>
            </w:pPr>
            <w:r>
              <w:rPr>
                <w:rFonts w:ascii="Times New Roman" w:hAnsi="Times New Roman"/>
                <w:b/>
                <w:sz w:val="22"/>
              </w:rPr>
              <w:t>Moat Strategic</w:t>
            </w:r>
          </w:p>
        </w:tc>
        <w:tc>
          <w:tcPr>
            <w:tcW w:type="dxa" w:w="3855"/>
          </w:tcPr>
          <w:p>
            <w:pPr>
              <w:spacing w:before="0" w:after="0"/>
              <w:ind w:firstLine="0"/>
              <w:jc w:val="left"/>
            </w:pPr>
            <w:r>
              <w:rPr>
                <w:rFonts w:ascii="Times New Roman" w:hAnsi="Times New Roman"/>
                <w:b/>
                <w:sz w:val="22"/>
              </w:rPr>
              <w:t>Mecanismul de Protecție și Perioada de Durabilitate</w:t>
            </w:r>
          </w:p>
        </w:tc>
      </w:tr>
      <w:tr>
        <w:tc>
          <w:tcPr>
            <w:tcW w:type="dxa" w:w="3855"/>
          </w:tcPr>
          <w:p>
            <w:pPr>
              <w:spacing w:before="0" w:after="0"/>
              <w:ind w:firstLine="0"/>
              <w:jc w:val="left"/>
            </w:pPr>
            <w:r>
              <w:rPr>
                <w:rFonts w:ascii="Times New Roman" w:hAnsi="Times New Roman"/>
                <w:sz w:val="22"/>
              </w:rPr>
              <w:t>Moat 1 — IP</w:t>
            </w:r>
          </w:p>
        </w:tc>
        <w:tc>
          <w:tcPr>
            <w:tcW w:type="dxa" w:w="3855"/>
          </w:tcPr>
          <w:p>
            <w:pPr>
              <w:spacing w:before="0" w:after="0"/>
              <w:ind w:firstLine="0"/>
              <w:jc w:val="left"/>
            </w:pPr>
            <w:r>
              <w:rPr>
                <w:rFonts w:ascii="Times New Roman" w:hAnsi="Times New Roman"/>
                <w:sz w:val="22"/>
              </w:rPr>
              <w:t>Portofoliu brevete pentru 17+ elemente brevetabile, mărci EUIPO (9 mărci verbale + figurative), BOIP i-DEPOT, WIPO Madrid Protocol. Licențiere selectivă + Defensive Patent License. Perioadă protecție: 20 ani/brevet.</w:t>
            </w:r>
          </w:p>
        </w:tc>
      </w:tr>
      <w:tr>
        <w:tc>
          <w:tcPr>
            <w:tcW w:type="dxa" w:w="3855"/>
          </w:tcPr>
          <w:p>
            <w:pPr>
              <w:spacing w:before="0" w:after="0"/>
              <w:ind w:firstLine="0"/>
              <w:jc w:val="left"/>
            </w:pPr>
            <w:r>
              <w:rPr>
                <w:rFonts w:ascii="Times New Roman" w:hAnsi="Times New Roman"/>
                <w:sz w:val="22"/>
              </w:rPr>
              <w:t>Moat 2 — Network</w:t>
            </w:r>
          </w:p>
        </w:tc>
        <w:tc>
          <w:tcPr>
            <w:tcW w:type="dxa" w:w="3855"/>
          </w:tcPr>
          <w:p>
            <w:pPr>
              <w:spacing w:before="0" w:after="0"/>
              <w:ind w:firstLine="0"/>
              <w:jc w:val="left"/>
            </w:pPr>
            <w:r>
              <w:rPr>
                <w:rFonts w:ascii="Times New Roman" w:hAnsi="Times New Roman"/>
                <w:sz w:val="22"/>
              </w:rPr>
              <w:t>Efectul de rețea: valoarea Exergy Online crește cu n² (Legea Metcalfe) cu numărul de comunități conectate. Fiecare comunitate adaugă combustibili, date, certificate și flexibilitate disponibilă rețelei întregi.</w:t>
            </w:r>
          </w:p>
        </w:tc>
      </w:tr>
      <w:tr>
        <w:tc>
          <w:tcPr>
            <w:tcW w:type="dxa" w:w="3855"/>
          </w:tcPr>
          <w:p>
            <w:pPr>
              <w:spacing w:before="0" w:after="0"/>
              <w:ind w:firstLine="0"/>
              <w:jc w:val="left"/>
            </w:pPr>
            <w:r>
              <w:rPr>
                <w:rFonts w:ascii="Times New Roman" w:hAnsi="Times New Roman"/>
                <w:sz w:val="22"/>
              </w:rPr>
              <w:t>Moat 3 — Data</w:t>
            </w:r>
          </w:p>
        </w:tc>
        <w:tc>
          <w:tcPr>
            <w:tcW w:type="dxa" w:w="3855"/>
          </w:tcPr>
          <w:p>
            <w:pPr>
              <w:spacing w:before="0" w:after="0"/>
              <w:ind w:firstLine="0"/>
              <w:jc w:val="left"/>
            </w:pPr>
            <w:r>
              <w:rPr>
                <w:rFonts w:ascii="Times New Roman" w:hAnsi="Times New Roman"/>
                <w:sz w:val="22"/>
              </w:rPr>
              <w:t>Date exergetice reale din funcționarea continuă a infrastructurii fizice: bilanțuri exergetice reale, eficiențe reale per tehnologie, date de uzură AssetHealth, profiluri de consum reale. Ireproductibil fără infrastructură fizică.</w:t>
            </w:r>
          </w:p>
        </w:tc>
      </w:tr>
      <w:tr>
        <w:tc>
          <w:tcPr>
            <w:tcW w:type="dxa" w:w="3855"/>
          </w:tcPr>
          <w:p>
            <w:pPr>
              <w:spacing w:before="0" w:after="0"/>
              <w:ind w:firstLine="0"/>
              <w:jc w:val="left"/>
            </w:pPr>
            <w:r>
              <w:rPr>
                <w:rFonts w:ascii="Times New Roman" w:hAnsi="Times New Roman"/>
                <w:sz w:val="22"/>
              </w:rPr>
              <w:t>Moat 4 — Standard</w:t>
            </w:r>
          </w:p>
        </w:tc>
        <w:tc>
          <w:tcPr>
            <w:tcW w:type="dxa" w:w="3855"/>
          </w:tcPr>
          <w:p>
            <w:pPr>
              <w:spacing w:before="0" w:after="0"/>
              <w:ind w:firstLine="0"/>
              <w:jc w:val="left"/>
            </w:pPr>
            <w:r>
              <w:rPr>
                <w:rFonts w:ascii="Times New Roman" w:hAnsi="Times New Roman"/>
                <w:sz w:val="22"/>
              </w:rPr>
              <w:t>Certificarea E→A+ ca standard de facto european: odată adoptat de 100+ comunități, devine punct de referință pentru reglementatori și finanțatori. Costul de schimb (switching cost) crește cu maturitatea certificării.</w:t>
            </w:r>
          </w:p>
        </w:tc>
      </w:tr>
      <w:tr>
        <w:tc>
          <w:tcPr>
            <w:tcW w:type="dxa" w:w="3855"/>
          </w:tcPr>
          <w:p>
            <w:pPr>
              <w:spacing w:before="0" w:after="0"/>
              <w:ind w:firstLine="0"/>
              <w:jc w:val="left"/>
            </w:pPr>
            <w:r>
              <w:rPr>
                <w:rFonts w:ascii="Times New Roman" w:hAnsi="Times New Roman"/>
                <w:sz w:val="22"/>
              </w:rPr>
              <w:t>Moat 5 — Complexity</w:t>
            </w:r>
          </w:p>
        </w:tc>
        <w:tc>
          <w:tcPr>
            <w:tcW w:type="dxa" w:w="3855"/>
          </w:tcPr>
          <w:p>
            <w:pPr>
              <w:spacing w:before="0" w:after="0"/>
              <w:ind w:firstLine="0"/>
              <w:jc w:val="left"/>
            </w:pPr>
            <w:r>
              <w:rPr>
                <w:rFonts w:ascii="Times New Roman" w:hAnsi="Times New Roman"/>
                <w:sz w:val="22"/>
              </w:rPr>
              <w:t>Integrarea simultană a 17+ tehnologii, cascadei termodinamice pe 4 niveluri, 10+ vectori și optimizare AI în timp real necesită 3–5 ani de dezvoltare pentru orice competitor serios. Complexitatea este barieră, nu povară.</w:t>
            </w:r>
          </w:p>
        </w:tc>
      </w:tr>
      <w:tr>
        <w:tc>
          <w:tcPr>
            <w:tcW w:type="dxa" w:w="3855"/>
          </w:tcPr>
          <w:p>
            <w:pPr>
              <w:spacing w:before="0" w:after="0"/>
              <w:ind w:firstLine="0"/>
              <w:jc w:val="left"/>
            </w:pPr>
            <w:r>
              <w:rPr>
                <w:rFonts w:ascii="Times New Roman" w:hAnsi="Times New Roman"/>
                <w:sz w:val="22"/>
              </w:rPr>
              <w:t>Moat 6 — Community</w:t>
            </w:r>
          </w:p>
        </w:tc>
        <w:tc>
          <w:tcPr>
            <w:tcW w:type="dxa" w:w="3855"/>
          </w:tcPr>
          <w:p>
            <w:pPr>
              <w:spacing w:before="0" w:after="0"/>
              <w:ind w:firstLine="0"/>
              <w:jc w:val="left"/>
            </w:pPr>
            <w:r>
              <w:rPr>
                <w:rFonts w:ascii="Times New Roman" w:hAnsi="Times New Roman"/>
                <w:sz w:val="22"/>
              </w:rPr>
              <w:t>Exergy Coop + EquityX: co-proprietate comunitară și parteneriate cu 7 tipologii creează loialitate structurală, nu contractuală. Comunitățile devin co-proprietare ale infrastructurii, nu clienți înlocuibili.</w:t>
            </w:r>
          </w:p>
        </w:tc>
      </w:tr>
      <w:tr>
        <w:tc>
          <w:tcPr>
            <w:tcW w:type="dxa" w:w="3855"/>
          </w:tcPr>
          <w:p>
            <w:pPr>
              <w:spacing w:before="0" w:after="0"/>
              <w:ind w:firstLine="0"/>
              <w:jc w:val="left"/>
            </w:pPr>
            <w:r>
              <w:rPr>
                <w:rFonts w:ascii="Times New Roman" w:hAnsi="Times New Roman"/>
                <w:sz w:val="22"/>
              </w:rPr>
              <w:t>Moat 7 — Holistic Aggregator</w:t>
            </w:r>
          </w:p>
        </w:tc>
        <w:tc>
          <w:tcPr>
            <w:tcW w:type="dxa" w:w="3855"/>
          </w:tcPr>
          <w:p>
            <w:pPr>
              <w:spacing w:before="0" w:after="0"/>
              <w:ind w:firstLine="0"/>
              <w:jc w:val="left"/>
            </w:pPr>
            <w:r>
              <w:rPr>
                <w:rFonts w:ascii="Times New Roman" w:hAnsi="Times New Roman"/>
                <w:sz w:val="22"/>
              </w:rPr>
              <w:t>HGA cu Financial Holistic Delta ≥30% vs. electric-only: nicio altă companie din industrie nu operează un agregator multi-vector complet pe 13+ dimensiuni. Primii 3 ani de operare reală creează un avantaj de date și algoritmi ireproductibil.</w:t>
            </w:r>
          </w:p>
        </w:tc>
      </w:tr>
    </w:tbl>
    <w:p>
      <w:pPr>
        <w:ind w:firstLine="0"/>
      </w:pPr>
    </w:p>
    <w:p>
      <w:pPr/>
      <w:r>
        <w:t>Caracteristica definitorie a sistemului de 7 moat-uri este efectul compus: IP Moat protejează Complexity Moat. Complexity Moat alimentează Data Moat. Data Moat întărește Standard Moat. Standard Moat accelerează Network Moat. Network Moat legitimează Community Moat. Community Moat finanțează continuua îmbunătățire a Holistic Aggregator Moat. Ciclul este auto-întăritor și crește în intensitate cu fiecare comunitate adăugată în meta-rețea.</w:t>
      </w:r>
    </w:p>
    <w:p>
      <w:pPr>
        <w:ind w:firstLine="0"/>
      </w:pPr>
    </w:p>
    <w:p>
      <w:pPr>
        <w:pStyle w:val="ChapterHeading"/>
        <w:keepNext/>
      </w:pPr>
      <w:r>
        <w:t>7. Matricea de Coerență Sistemică — Validarea Integrității</w:t>
      </w:r>
    </w:p>
    <w:p>
      <w:pPr>
        <w:ind w:firstLine="0"/>
      </w:pPr>
    </w:p>
    <w:p>
      <w:pPr/>
      <w:r>
        <w:t>Validarea completitudinii arhitecturii sistemului de sisteme propus necesită un instrument multi-dimensional care să verifice că fiecare axă de coerență este acoperită de cel puțin 3 componente la nivel primar sau superior. Matricea de Coerență pe 8 Axe îndeplinește această funcție:</w:t>
      </w:r>
    </w:p>
    <w:p>
      <w:pPr/>
      <w:r>
        <w:t>Axele de coerență și justificările parametrilor se regăsesc în Tabelul 17.</w:t>
      </w:r>
    </w:p>
    <w:p>
      <w:pPr>
        <w:ind w:firstLine="0"/>
      </w:pPr>
    </w:p>
    <w:p>
      <w:pPr>
        <w:pStyle w:val="TableCaption"/>
      </w:pPr>
      <w:r>
        <w:t>Tabel 17. Axele de coerență și justificările parametrilor</w:t>
      </w:r>
    </w:p>
    <w:tbl>
      <w:tblPr>
        <w:tblStyle w:val="TableGrid"/>
        <w:tblW w:type="auto" w:w="0"/>
        <w:jc w:val="center"/>
        <w:tblLook w:firstColumn="1" w:firstRow="1" w:lastColumn="0" w:lastRow="0" w:noHBand="0" w:noVBand="1" w:val="04A0"/>
      </w:tblPr>
      <w:tblGrid>
        <w:gridCol w:w="2570"/>
        <w:gridCol w:w="2570"/>
        <w:gridCol w:w="2570"/>
      </w:tblGrid>
      <w:tr>
        <w:tc>
          <w:tcPr>
            <w:tcW w:type="dxa" w:w="2570"/>
          </w:tcPr>
          <w:p>
            <w:pPr>
              <w:spacing w:before="0" w:after="0"/>
              <w:ind w:firstLine="0"/>
              <w:jc w:val="left"/>
            </w:pPr>
            <w:r>
              <w:rPr>
                <w:rFonts w:ascii="Times New Roman" w:hAnsi="Times New Roman"/>
                <w:b/>
                <w:sz w:val="22"/>
              </w:rPr>
              <w:t>Axă Coerență</w:t>
            </w:r>
          </w:p>
        </w:tc>
        <w:tc>
          <w:tcPr>
            <w:tcW w:type="dxa" w:w="2570"/>
          </w:tcPr>
          <w:p>
            <w:pPr>
              <w:spacing w:before="0" w:after="0"/>
              <w:ind w:firstLine="0"/>
              <w:jc w:val="left"/>
            </w:pPr>
            <w:r>
              <w:rPr>
                <w:rFonts w:ascii="Times New Roman" w:hAnsi="Times New Roman"/>
                <w:b/>
                <w:sz w:val="22"/>
              </w:rPr>
              <w:t>Nivel</w:t>
            </w:r>
          </w:p>
        </w:tc>
        <w:tc>
          <w:tcPr>
            <w:tcW w:type="dxa" w:w="2570"/>
          </w:tcPr>
          <w:p>
            <w:pPr>
              <w:spacing w:before="0" w:after="0"/>
              <w:ind w:firstLine="0"/>
              <w:jc w:val="left"/>
            </w:pPr>
            <w:r>
              <w:rPr>
                <w:rFonts w:ascii="Times New Roman" w:hAnsi="Times New Roman"/>
                <w:b/>
                <w:sz w:val="22"/>
              </w:rPr>
              <w:t>Justificare și Parametri</w:t>
            </w:r>
          </w:p>
        </w:tc>
      </w:tr>
      <w:tr>
        <w:tc>
          <w:tcPr>
            <w:tcW w:type="dxa" w:w="2570"/>
          </w:tcPr>
          <w:p>
            <w:pPr>
              <w:spacing w:before="0" w:after="0"/>
              <w:ind w:firstLine="0"/>
              <w:jc w:val="left"/>
            </w:pPr>
            <w:r>
              <w:rPr>
                <w:rFonts w:ascii="Times New Roman" w:hAnsi="Times New Roman"/>
                <w:sz w:val="22"/>
              </w:rPr>
              <w:t>Energie</w:t>
            </w:r>
          </w:p>
        </w:tc>
        <w:tc>
          <w:tcPr>
            <w:tcW w:type="dxa" w:w="2570"/>
          </w:tcPr>
          <w:p>
            <w:pPr>
              <w:spacing w:before="0" w:after="0"/>
              <w:ind w:firstLine="0"/>
              <w:jc w:val="left"/>
            </w:pPr>
            <w:r>
              <w:rPr>
                <w:rFonts w:ascii="Times New Roman" w:hAnsi="Times New Roman"/>
                <w:sz w:val="22"/>
              </w:rPr>
              <w:t>ORCHESTREAZĂ</w:t>
            </w:r>
          </w:p>
        </w:tc>
        <w:tc>
          <w:tcPr>
            <w:tcW w:type="dxa" w:w="2570"/>
          </w:tcPr>
          <w:p>
            <w:pPr>
              <w:spacing w:before="0" w:after="0"/>
              <w:ind w:firstLine="0"/>
              <w:jc w:val="left"/>
            </w:pPr>
            <w:r>
              <w:rPr>
                <w:rFonts w:ascii="Times New Roman" w:hAnsi="Times New Roman"/>
                <w:sz w:val="22"/>
              </w:rPr>
              <w:t>Metasistemul proiectează, operează și orchestrează producție, conversie, stocare, distribuție și consum exergetic pe 17+ tehnologii și 5 vectori simultani.</w:t>
            </w:r>
          </w:p>
        </w:tc>
      </w:tr>
      <w:tr>
        <w:tc>
          <w:tcPr>
            <w:tcW w:type="dxa" w:w="2570"/>
          </w:tcPr>
          <w:p>
            <w:pPr>
              <w:spacing w:before="0" w:after="0"/>
              <w:ind w:firstLine="0"/>
              <w:jc w:val="left"/>
            </w:pPr>
            <w:r>
              <w:rPr>
                <w:rFonts w:ascii="Times New Roman" w:hAnsi="Times New Roman"/>
                <w:sz w:val="22"/>
              </w:rPr>
              <w:t>Materie</w:t>
            </w:r>
          </w:p>
        </w:tc>
        <w:tc>
          <w:tcPr>
            <w:tcW w:type="dxa" w:w="2570"/>
          </w:tcPr>
          <w:p>
            <w:pPr>
              <w:spacing w:before="0" w:after="0"/>
              <w:ind w:firstLine="0"/>
              <w:jc w:val="left"/>
            </w:pPr>
            <w:r>
              <w:rPr>
                <w:rFonts w:ascii="Times New Roman" w:hAnsi="Times New Roman"/>
                <w:sz w:val="22"/>
              </w:rPr>
              <w:t>PRIMAR</w:t>
            </w:r>
          </w:p>
        </w:tc>
        <w:tc>
          <w:tcPr>
            <w:tcW w:type="dxa" w:w="2570"/>
          </w:tcPr>
          <w:p>
            <w:pPr>
              <w:spacing w:before="0" w:after="0"/>
              <w:ind w:firstLine="0"/>
              <w:jc w:val="left"/>
            </w:pPr>
            <w:r>
              <w:rPr>
                <w:rFonts w:ascii="Times New Roman" w:hAnsi="Times New Roman"/>
                <w:sz w:val="22"/>
              </w:rPr>
              <w:t>Circularitate completă: 13 componente pe 4 straturi; deșeuri→SRF→energie→biochar→sol. CEI ≥90%. Zero waste doctrinar.</w:t>
            </w:r>
          </w:p>
        </w:tc>
      </w:tr>
      <w:tr>
        <w:tc>
          <w:tcPr>
            <w:tcW w:type="dxa" w:w="2570"/>
          </w:tcPr>
          <w:p>
            <w:pPr>
              <w:spacing w:before="0" w:after="0"/>
              <w:ind w:firstLine="0"/>
              <w:jc w:val="left"/>
            </w:pPr>
            <w:r>
              <w:rPr>
                <w:rFonts w:ascii="Times New Roman" w:hAnsi="Times New Roman"/>
                <w:sz w:val="22"/>
              </w:rPr>
              <w:t>Digital</w:t>
            </w:r>
          </w:p>
        </w:tc>
        <w:tc>
          <w:tcPr>
            <w:tcW w:type="dxa" w:w="2570"/>
          </w:tcPr>
          <w:p>
            <w:pPr>
              <w:spacing w:before="0" w:after="0"/>
              <w:ind w:firstLine="0"/>
              <w:jc w:val="left"/>
            </w:pPr>
            <w:r>
              <w:rPr>
                <w:rFonts w:ascii="Times New Roman" w:hAnsi="Times New Roman"/>
                <w:sz w:val="22"/>
              </w:rPr>
              <w:t>PRIMAR</w:t>
            </w:r>
          </w:p>
        </w:tc>
        <w:tc>
          <w:tcPr>
            <w:tcW w:type="dxa" w:w="2570"/>
          </w:tcPr>
          <w:p>
            <w:pPr>
              <w:spacing w:before="0" w:after="0"/>
              <w:ind w:firstLine="0"/>
              <w:jc w:val="left"/>
            </w:pPr>
            <w:r>
              <w:rPr>
                <w:rFonts w:ascii="Times New Roman" w:hAnsi="Times New Roman"/>
                <w:sz w:val="22"/>
              </w:rPr>
              <w:t>DigitAll System V4 cu 5+1 platforme, 28 module; HGA orchestrare simultană 13+ vectori; Digital Twin acuratețe ≥95%.</w:t>
            </w:r>
          </w:p>
        </w:tc>
      </w:tr>
      <w:tr>
        <w:tc>
          <w:tcPr>
            <w:tcW w:type="dxa" w:w="2570"/>
          </w:tcPr>
          <w:p>
            <w:pPr>
              <w:spacing w:before="0" w:after="0"/>
              <w:ind w:firstLine="0"/>
              <w:jc w:val="left"/>
            </w:pPr>
            <w:r>
              <w:rPr>
                <w:rFonts w:ascii="Times New Roman" w:hAnsi="Times New Roman"/>
                <w:sz w:val="22"/>
              </w:rPr>
              <w:t>Financiar</w:t>
            </w:r>
          </w:p>
        </w:tc>
        <w:tc>
          <w:tcPr>
            <w:tcW w:type="dxa" w:w="2570"/>
          </w:tcPr>
          <w:p>
            <w:pPr>
              <w:spacing w:before="0" w:after="0"/>
              <w:ind w:firstLine="0"/>
              <w:jc w:val="left"/>
            </w:pPr>
            <w:r>
              <w:rPr>
                <w:rFonts w:ascii="Times New Roman" w:hAnsi="Times New Roman"/>
                <w:sz w:val="22"/>
              </w:rPr>
              <w:t>PRIMAR</w:t>
            </w:r>
          </w:p>
        </w:tc>
        <w:tc>
          <w:tcPr>
            <w:tcW w:type="dxa" w:w="2570"/>
          </w:tcPr>
          <w:p>
            <w:pPr>
              <w:spacing w:before="0" w:after="0"/>
              <w:ind w:firstLine="0"/>
              <w:jc w:val="left"/>
            </w:pPr>
            <w:r>
              <w:rPr>
                <w:rFonts w:ascii="Times New Roman" w:hAnsi="Times New Roman"/>
                <w:sz w:val="22"/>
              </w:rPr>
              <w:t>16+5 fluxuri venituri în 5 categorii; Open-Core 4 niveluri; 7 moat-uri strategice; PBC+EBT protecție misiune.</w:t>
            </w:r>
          </w:p>
        </w:tc>
      </w:tr>
      <w:tr>
        <w:tc>
          <w:tcPr>
            <w:tcW w:type="dxa" w:w="2570"/>
          </w:tcPr>
          <w:p>
            <w:pPr>
              <w:spacing w:before="0" w:after="0"/>
              <w:ind w:firstLine="0"/>
              <w:jc w:val="left"/>
            </w:pPr>
            <w:r>
              <w:rPr>
                <w:rFonts w:ascii="Times New Roman" w:hAnsi="Times New Roman"/>
                <w:sz w:val="22"/>
              </w:rPr>
              <w:t>Social</w:t>
            </w:r>
          </w:p>
        </w:tc>
        <w:tc>
          <w:tcPr>
            <w:tcW w:type="dxa" w:w="2570"/>
          </w:tcPr>
          <w:p>
            <w:pPr>
              <w:spacing w:before="0" w:after="0"/>
              <w:ind w:firstLine="0"/>
              <w:jc w:val="left"/>
            </w:pPr>
            <w:r>
              <w:rPr>
                <w:rFonts w:ascii="Times New Roman" w:hAnsi="Times New Roman"/>
                <w:sz w:val="22"/>
              </w:rPr>
              <w:t>PRIMAR</w:t>
            </w:r>
          </w:p>
        </w:tc>
        <w:tc>
          <w:tcPr>
            <w:tcW w:type="dxa" w:w="2570"/>
          </w:tcPr>
          <w:p>
            <w:pPr>
              <w:spacing w:before="0" w:after="0"/>
              <w:ind w:firstLine="0"/>
              <w:jc w:val="left"/>
            </w:pPr>
            <w:r>
              <w:rPr>
                <w:rFonts w:ascii="Times New Roman" w:hAnsi="Times New Roman"/>
                <w:sz w:val="22"/>
              </w:rPr>
              <w:t>Cooperativism democratic; SolidarityX EPI &lt;5%; tokenizare 5 dimensiuni; Sport-to-Energy; democrație energetică.</w:t>
            </w:r>
          </w:p>
        </w:tc>
      </w:tr>
      <w:tr>
        <w:tc>
          <w:tcPr>
            <w:tcW w:type="dxa" w:w="2570"/>
          </w:tcPr>
          <w:p>
            <w:pPr>
              <w:spacing w:before="0" w:after="0"/>
              <w:ind w:firstLine="0"/>
              <w:jc w:val="left"/>
            </w:pPr>
            <w:r>
              <w:rPr>
                <w:rFonts w:ascii="Times New Roman" w:hAnsi="Times New Roman"/>
                <w:sz w:val="22"/>
              </w:rPr>
              <w:t>Regenerativ</w:t>
            </w:r>
          </w:p>
        </w:tc>
        <w:tc>
          <w:tcPr>
            <w:tcW w:type="dxa" w:w="2570"/>
          </w:tcPr>
          <w:p>
            <w:pPr>
              <w:spacing w:before="0" w:after="0"/>
              <w:ind w:firstLine="0"/>
              <w:jc w:val="left"/>
            </w:pPr>
            <w:r>
              <w:rPr>
                <w:rFonts w:ascii="Times New Roman" w:hAnsi="Times New Roman"/>
                <w:sz w:val="22"/>
              </w:rPr>
              <w:t>PRIMAR</w:t>
            </w:r>
          </w:p>
        </w:tc>
        <w:tc>
          <w:tcPr>
            <w:tcW w:type="dxa" w:w="2570"/>
          </w:tcPr>
          <w:p>
            <w:pPr>
              <w:spacing w:before="0" w:after="0"/>
              <w:ind w:firstLine="0"/>
              <w:jc w:val="left"/>
            </w:pPr>
            <w:r>
              <w:rPr>
                <w:rFonts w:ascii="Times New Roman" w:hAnsi="Times New Roman"/>
                <w:sz w:val="22"/>
              </w:rPr>
              <w:t>50–80 MtCO₂/an la scară; carbon-negativitate per comunitate; biodiversitate &gt;110%; SymbiotyX. Nu sustenabil — regenerativ.</w:t>
            </w:r>
          </w:p>
        </w:tc>
      </w:tr>
      <w:tr>
        <w:tc>
          <w:tcPr>
            <w:tcW w:type="dxa" w:w="2570"/>
          </w:tcPr>
          <w:p>
            <w:pPr>
              <w:spacing w:before="0" w:after="0"/>
              <w:ind w:firstLine="0"/>
              <w:jc w:val="left"/>
            </w:pPr>
            <w:r>
              <w:rPr>
                <w:rFonts w:ascii="Times New Roman" w:hAnsi="Times New Roman"/>
                <w:sz w:val="22"/>
              </w:rPr>
              <w:t>Instituțional</w:t>
            </w:r>
          </w:p>
        </w:tc>
        <w:tc>
          <w:tcPr>
            <w:tcW w:type="dxa" w:w="2570"/>
          </w:tcPr>
          <w:p>
            <w:pPr>
              <w:spacing w:before="0" w:after="0"/>
              <w:ind w:firstLine="0"/>
              <w:jc w:val="left"/>
            </w:pPr>
            <w:r>
              <w:rPr>
                <w:rFonts w:ascii="Times New Roman" w:hAnsi="Times New Roman"/>
                <w:sz w:val="22"/>
              </w:rPr>
              <w:t>PRIMAR</w:t>
            </w:r>
          </w:p>
        </w:tc>
        <w:tc>
          <w:tcPr>
            <w:tcW w:type="dxa" w:w="2570"/>
          </w:tcPr>
          <w:p>
            <w:pPr>
              <w:spacing w:before="0" w:after="0"/>
              <w:ind w:firstLine="0"/>
              <w:jc w:val="left"/>
            </w:pPr>
            <w:r>
              <w:rPr>
                <w:rFonts w:ascii="Times New Roman" w:hAnsi="Times New Roman"/>
                <w:sz w:val="22"/>
              </w:rPr>
              <w:t>Ierarhie doctrinară 4 ranguri; PBC+EBT; EnEx Institute standardizare; EquityX 7 tipologii; certificare E→A+.</w:t>
            </w:r>
          </w:p>
        </w:tc>
      </w:tr>
      <w:tr>
        <w:tc>
          <w:tcPr>
            <w:tcW w:type="dxa" w:w="2570"/>
          </w:tcPr>
          <w:p>
            <w:pPr>
              <w:spacing w:before="0" w:after="0"/>
              <w:ind w:firstLine="0"/>
              <w:jc w:val="left"/>
            </w:pPr>
            <w:r>
              <w:rPr>
                <w:rFonts w:ascii="Times New Roman" w:hAnsi="Times New Roman"/>
                <w:sz w:val="22"/>
              </w:rPr>
              <w:t>Scalabilitate</w:t>
            </w:r>
          </w:p>
        </w:tc>
        <w:tc>
          <w:tcPr>
            <w:tcW w:type="dxa" w:w="2570"/>
          </w:tcPr>
          <w:p>
            <w:pPr>
              <w:spacing w:before="0" w:after="0"/>
              <w:ind w:firstLine="0"/>
              <w:jc w:val="left"/>
            </w:pPr>
            <w:r>
              <w:rPr>
                <w:rFonts w:ascii="Times New Roman" w:hAnsi="Times New Roman"/>
                <w:sz w:val="22"/>
              </w:rPr>
              <w:t>PRIMAR</w:t>
            </w:r>
          </w:p>
        </w:tc>
        <w:tc>
          <w:tcPr>
            <w:tcW w:type="dxa" w:w="2570"/>
          </w:tcPr>
          <w:p>
            <w:pPr>
              <w:spacing w:before="0" w:after="0"/>
              <w:ind w:firstLine="0"/>
              <w:jc w:val="left"/>
            </w:pPr>
            <w:r>
              <w:rPr>
                <w:rFonts w:ascii="Times New Roman" w:hAnsi="Times New Roman"/>
                <w:sz w:val="22"/>
              </w:rPr>
              <w:t>10.000 comunități vizat 2035; roadmap 2026–2035 pe 5 faze; Open-X global; meta-rețea regenerativă.</w:t>
            </w:r>
          </w:p>
        </w:tc>
      </w:tr>
    </w:tbl>
    <w:p>
      <w:pPr>
        <w:ind w:firstLine="0"/>
      </w:pPr>
    </w:p>
    <w:p>
      <w:pPr>
        <w:ind w:firstLine="0"/>
      </w:pPr>
    </w:p>
    <w:p>
      <w:pPr>
        <w:pStyle w:val="SubHeading"/>
        <w:keepNext/>
      </w:pPr>
      <w:r>
        <w:t>7.1 Indicatori sistemici cheie</w:t>
      </w:r>
    </w:p>
    <w:p>
      <w:pPr>
        <w:ind w:firstLine="0"/>
      </w:pPr>
    </w:p>
    <w:p>
      <w:pPr/>
      <w:r>
        <w:t>Indicatorii KPI cu valori țintă și metodologii sunt ilustrați în Tabelul 18.</w:t>
      </w:r>
    </w:p>
    <w:p>
      <w:pPr>
        <w:ind w:firstLine="0"/>
      </w:pPr>
    </w:p>
    <w:p>
      <w:pPr>
        <w:pStyle w:val="TableCaption"/>
      </w:pPr>
      <w:r>
        <w:t>Tabel 18. Indicatorii KPI cu valori țintă și metodologii</w:t>
      </w:r>
    </w:p>
    <w:tbl>
      <w:tblPr>
        <w:tblStyle w:val="TableGrid"/>
        <w:tblW w:type="auto" w:w="0"/>
        <w:jc w:val="center"/>
        <w:tblLook w:firstColumn="1" w:firstRow="1" w:lastColumn="0" w:lastRow="0" w:noHBand="0" w:noVBand="1" w:val="04A0"/>
      </w:tblPr>
      <w:tblGrid>
        <w:gridCol w:w="3855"/>
        <w:gridCol w:w="3855"/>
      </w:tblGrid>
      <w:tr>
        <w:tc>
          <w:tcPr>
            <w:tcW w:type="dxa" w:w="3855"/>
          </w:tcPr>
          <w:p>
            <w:pPr>
              <w:spacing w:before="0" w:after="0"/>
              <w:ind w:firstLine="0"/>
              <w:jc w:val="left"/>
            </w:pPr>
            <w:r>
              <w:rPr>
                <w:rFonts w:ascii="Times New Roman" w:hAnsi="Times New Roman"/>
                <w:b/>
                <w:sz w:val="22"/>
              </w:rPr>
              <w:t>Indicator KPI</w:t>
            </w:r>
          </w:p>
        </w:tc>
        <w:tc>
          <w:tcPr>
            <w:tcW w:type="dxa" w:w="3855"/>
          </w:tcPr>
          <w:p>
            <w:pPr>
              <w:spacing w:before="0" w:after="0"/>
              <w:ind w:firstLine="0"/>
              <w:jc w:val="left"/>
            </w:pPr>
            <w:r>
              <w:rPr>
                <w:rFonts w:ascii="Times New Roman" w:hAnsi="Times New Roman"/>
                <w:b/>
                <w:sz w:val="22"/>
              </w:rPr>
              <w:t>Valoare Target și Metodologie de Măsurare</w:t>
            </w:r>
          </w:p>
        </w:tc>
      </w:tr>
      <w:tr>
        <w:tc>
          <w:tcPr>
            <w:tcW w:type="dxa" w:w="3855"/>
          </w:tcPr>
          <w:p>
            <w:pPr>
              <w:spacing w:before="0" w:after="0"/>
              <w:ind w:firstLine="0"/>
              <w:jc w:val="left"/>
            </w:pPr>
            <w:r>
              <w:rPr>
                <w:rFonts w:ascii="Times New Roman" w:hAnsi="Times New Roman"/>
                <w:sz w:val="22"/>
              </w:rPr>
              <w:t>η_ex — Eficiența Exergetică Sistemică</w:t>
            </w:r>
          </w:p>
        </w:tc>
        <w:tc>
          <w:tcPr>
            <w:tcW w:type="dxa" w:w="3855"/>
          </w:tcPr>
          <w:p>
            <w:pPr>
              <w:spacing w:before="0" w:after="0"/>
              <w:ind w:firstLine="0"/>
              <w:jc w:val="left"/>
            </w:pPr>
            <w:r>
              <w:rPr>
                <w:rFonts w:ascii="Times New Roman" w:hAnsi="Times New Roman"/>
                <w:sz w:val="22"/>
              </w:rPr>
              <w:t>≥70% sistem complet; sub-targets: conversie ≥85%, distribuție ≥95%, utilizare ≥80%. Măsurabil prin Digital Twin, acuratețe ≥95%.</w:t>
            </w:r>
          </w:p>
        </w:tc>
      </w:tr>
      <w:tr>
        <w:tc>
          <w:tcPr>
            <w:tcW w:type="dxa" w:w="3855"/>
          </w:tcPr>
          <w:p>
            <w:pPr>
              <w:spacing w:before="0" w:after="0"/>
              <w:ind w:firstLine="0"/>
              <w:jc w:val="left"/>
            </w:pPr>
            <w:r>
              <w:rPr>
                <w:rFonts w:ascii="Times New Roman" w:hAnsi="Times New Roman"/>
                <w:sz w:val="22"/>
              </w:rPr>
              <w:t>CEI — Circular Economy Index</w:t>
            </w:r>
          </w:p>
        </w:tc>
        <w:tc>
          <w:tcPr>
            <w:tcW w:type="dxa" w:w="3855"/>
          </w:tcPr>
          <w:p>
            <w:pPr>
              <w:spacing w:before="0" w:after="0"/>
              <w:ind w:firstLine="0"/>
              <w:jc w:val="left"/>
            </w:pPr>
            <w:r>
              <w:rPr>
                <w:rFonts w:ascii="Times New Roman" w:hAnsi="Times New Roman"/>
                <w:sz w:val="22"/>
              </w:rPr>
              <w:t>≥90%. Raportul fluxurilor materiale închise față de total. Include SRF, biochar, recuperare căldură, V2G, SymbiotyX.</w:t>
            </w:r>
          </w:p>
        </w:tc>
      </w:tr>
      <w:tr>
        <w:tc>
          <w:tcPr>
            <w:tcW w:type="dxa" w:w="3855"/>
          </w:tcPr>
          <w:p>
            <w:pPr>
              <w:spacing w:before="0" w:after="0"/>
              <w:ind w:firstLine="0"/>
              <w:jc w:val="left"/>
            </w:pPr>
            <w:r>
              <w:rPr>
                <w:rFonts w:ascii="Times New Roman" w:hAnsi="Times New Roman"/>
                <w:sz w:val="22"/>
              </w:rPr>
              <w:t>EPI — Energy Poverty Index</w:t>
            </w:r>
          </w:p>
        </w:tc>
        <w:tc>
          <w:tcPr>
            <w:tcW w:type="dxa" w:w="3855"/>
          </w:tcPr>
          <w:p>
            <w:pPr>
              <w:spacing w:before="0" w:after="0"/>
              <w:ind w:firstLine="0"/>
              <w:jc w:val="left"/>
            </w:pPr>
            <w:r>
              <w:rPr>
                <w:rFonts w:ascii="Times New Roman" w:hAnsi="Times New Roman"/>
                <w:sz w:val="22"/>
              </w:rPr>
              <w:t>&lt;5%. Ponderea gospodăriilor cu cheltuieli energetice &gt;10% din venit. Obiectiv structural prin SolidarityX.</w:t>
            </w:r>
          </w:p>
        </w:tc>
      </w:tr>
      <w:tr>
        <w:tc>
          <w:tcPr>
            <w:tcW w:type="dxa" w:w="3855"/>
          </w:tcPr>
          <w:p>
            <w:pPr>
              <w:spacing w:before="0" w:after="0"/>
              <w:ind w:firstLine="0"/>
              <w:jc w:val="left"/>
            </w:pPr>
            <w:r>
              <w:rPr>
                <w:rFonts w:ascii="Times New Roman" w:hAnsi="Times New Roman"/>
                <w:sz w:val="22"/>
              </w:rPr>
              <w:t>PR — Participation Rate</w:t>
            </w:r>
          </w:p>
        </w:tc>
        <w:tc>
          <w:tcPr>
            <w:tcW w:type="dxa" w:w="3855"/>
          </w:tcPr>
          <w:p>
            <w:pPr>
              <w:spacing w:before="0" w:after="0"/>
              <w:ind w:firstLine="0"/>
              <w:jc w:val="left"/>
            </w:pPr>
            <w:r>
              <w:rPr>
                <w:rFonts w:ascii="Times New Roman" w:hAnsi="Times New Roman"/>
                <w:sz w:val="22"/>
              </w:rPr>
              <w:t>≥80%. Ponderea membrilor Exergy Coop activi (vot, contribuție, tokeni). Indicatorul democrației energetice.</w:t>
            </w:r>
          </w:p>
        </w:tc>
      </w:tr>
      <w:tr>
        <w:tc>
          <w:tcPr>
            <w:tcW w:type="dxa" w:w="3855"/>
          </w:tcPr>
          <w:p>
            <w:pPr>
              <w:spacing w:before="0" w:after="0"/>
              <w:ind w:firstLine="0"/>
              <w:jc w:val="left"/>
            </w:pPr>
            <w:r>
              <w:rPr>
                <w:rFonts w:ascii="Times New Roman" w:hAnsi="Times New Roman"/>
                <w:sz w:val="22"/>
              </w:rPr>
              <w:t>Financial Holistic Delta</w:t>
            </w:r>
          </w:p>
        </w:tc>
        <w:tc>
          <w:tcPr>
            <w:tcW w:type="dxa" w:w="3855"/>
          </w:tcPr>
          <w:p>
            <w:pPr>
              <w:spacing w:before="0" w:after="0"/>
              <w:ind w:firstLine="0"/>
              <w:jc w:val="left"/>
            </w:pPr>
            <w:r>
              <w:rPr>
                <w:rFonts w:ascii="Times New Roman" w:hAnsi="Times New Roman"/>
                <w:sz w:val="22"/>
              </w:rPr>
              <w:t>≥30% față de agregarea electric-only. Câștigul financiar al optimizării multi-vector prin HGA.</w:t>
            </w:r>
          </w:p>
        </w:tc>
      </w:tr>
      <w:tr>
        <w:tc>
          <w:tcPr>
            <w:tcW w:type="dxa" w:w="3855"/>
          </w:tcPr>
          <w:p>
            <w:pPr>
              <w:spacing w:before="0" w:after="0"/>
              <w:ind w:firstLine="0"/>
              <w:jc w:val="left"/>
            </w:pPr>
            <w:r>
              <w:rPr>
                <w:rFonts w:ascii="Times New Roman" w:hAnsi="Times New Roman"/>
                <w:sz w:val="22"/>
              </w:rPr>
              <w:t>Cross-Vector Synergy Gain</w:t>
            </w:r>
          </w:p>
        </w:tc>
        <w:tc>
          <w:tcPr>
            <w:tcW w:type="dxa" w:w="3855"/>
          </w:tcPr>
          <w:p>
            <w:pPr>
              <w:spacing w:before="0" w:after="0"/>
              <w:ind w:firstLine="0"/>
              <w:jc w:val="left"/>
            </w:pPr>
            <w:r>
              <w:rPr>
                <w:rFonts w:ascii="Times New Roman" w:hAnsi="Times New Roman"/>
                <w:sz w:val="22"/>
              </w:rPr>
              <w:t>≥15%. Câștigul exergetic suplimentar din optimizarea încrucișată a vectorilor vs. optimizarea independentă per vector.</w:t>
            </w:r>
          </w:p>
        </w:tc>
      </w:tr>
      <w:tr>
        <w:tc>
          <w:tcPr>
            <w:tcW w:type="dxa" w:w="3855"/>
          </w:tcPr>
          <w:p>
            <w:pPr>
              <w:spacing w:before="0" w:after="0"/>
              <w:ind w:firstLine="0"/>
              <w:jc w:val="left"/>
            </w:pPr>
            <w:r>
              <w:rPr>
                <w:rFonts w:ascii="Times New Roman" w:hAnsi="Times New Roman"/>
                <w:sz w:val="22"/>
              </w:rPr>
              <w:t>Carbon Negativity Rate</w:t>
            </w:r>
          </w:p>
        </w:tc>
        <w:tc>
          <w:tcPr>
            <w:tcW w:type="dxa" w:w="3855"/>
          </w:tcPr>
          <w:p>
            <w:pPr>
              <w:spacing w:before="0" w:after="0"/>
              <w:ind w:firstLine="0"/>
              <w:jc w:val="left"/>
            </w:pPr>
            <w:r>
              <w:rPr>
                <w:rFonts w:ascii="Times New Roman" w:hAnsi="Times New Roman"/>
                <w:sz w:val="22"/>
              </w:rPr>
              <w:t>kg CO₂e sechestratat / kg CO₂e emis &gt; 1,0. Carbon-negativitate netă certificabilă per comunitate prin biochar EBC v10.5.</w:t>
            </w:r>
          </w:p>
        </w:tc>
      </w:tr>
      <w:tr>
        <w:tc>
          <w:tcPr>
            <w:tcW w:type="dxa" w:w="3855"/>
          </w:tcPr>
          <w:p>
            <w:pPr>
              <w:spacing w:before="0" w:after="0"/>
              <w:ind w:firstLine="0"/>
              <w:jc w:val="left"/>
            </w:pPr>
            <w:r>
              <w:rPr>
                <w:rFonts w:ascii="Times New Roman" w:hAnsi="Times New Roman"/>
                <w:sz w:val="22"/>
              </w:rPr>
              <w:t>Island Mode Duration</w:t>
            </w:r>
          </w:p>
        </w:tc>
        <w:tc>
          <w:tcPr>
            <w:tcW w:type="dxa" w:w="3855"/>
          </w:tcPr>
          <w:p>
            <w:pPr>
              <w:spacing w:before="0" w:after="0"/>
              <w:ind w:firstLine="0"/>
              <w:jc w:val="left"/>
            </w:pPr>
            <w:r>
              <w:rPr>
                <w:rFonts w:ascii="Times New Roman" w:hAnsi="Times New Roman"/>
                <w:sz w:val="22"/>
              </w:rPr>
              <w:t>≥72h operare autonomă fără rețeaua națională. Indicatorul rezilienței teritoriale.</w:t>
            </w:r>
          </w:p>
        </w:tc>
      </w:tr>
    </w:tbl>
    <w:p>
      <w:pPr>
        <w:ind w:firstLine="0"/>
      </w:pPr>
    </w:p>
    <w:p>
      <w:pPr>
        <w:ind w:firstLine="0"/>
      </w:pPr>
    </w:p>
    <w:p>
      <w:pPr>
        <w:pStyle w:val="ChapterHeading"/>
        <w:keepNext/>
      </w:pPr>
      <w:r>
        <w:t>8. Impactul la Scară și Doctrina de Scalare</w:t>
      </w:r>
    </w:p>
    <w:p>
      <w:pPr>
        <w:ind w:firstLine="0"/>
      </w:pPr>
    </w:p>
    <w:p>
      <w:pPr/>
      <w:r>
        <w:t>Arhitectura sistemului de sisteme propus devine cu adevărat relevantă la scară. Obiectivul cuantificat — 10.000 de comunități energetice emergente până în 2035 — nu este o aspirație, ci o funcție a replicabilității arhitecturale: standardizarea Box-urilor plug-and-play, platforma DigitAll cloud, programul EquityX și Open-X Framework pentru difuzarea globală a cunoașterii.</w:t>
      </w:r>
    </w:p>
    <w:p>
      <w:pPr>
        <w:ind w:firstLine="0"/>
      </w:pPr>
    </w:p>
    <w:p>
      <w:pPr>
        <w:pStyle w:val="SubHeading"/>
        <w:keepNext/>
      </w:pPr>
      <w:r>
        <w:t>8.1 Impactul cuantificat la scară globală</w:t>
      </w:r>
    </w:p>
    <w:p>
      <w:pPr>
        <w:ind w:firstLine="0"/>
      </w:pPr>
    </w:p>
    <w:p>
      <w:pPr/>
      <w:r>
        <w:t>Indicatorii de impact cu valorile contextualizate sunt prezentați în Tabelul 19.</w:t>
      </w:r>
    </w:p>
    <w:p>
      <w:pPr>
        <w:ind w:firstLine="0"/>
      </w:pPr>
    </w:p>
    <w:p>
      <w:pPr>
        <w:pStyle w:val="TableCaption"/>
      </w:pPr>
      <w:r>
        <w:t>Tabel 19. Indicatorii de impact cu valorile contextualizate</w:t>
      </w:r>
    </w:p>
    <w:tbl>
      <w:tblPr>
        <w:tblStyle w:val="TableGrid"/>
        <w:tblW w:type="auto" w:w="0"/>
        <w:jc w:val="center"/>
        <w:tblLook w:firstColumn="1" w:firstRow="1" w:lastColumn="0" w:lastRow="0" w:noHBand="0" w:noVBand="1" w:val="04A0"/>
      </w:tblPr>
      <w:tblGrid>
        <w:gridCol w:w="3855"/>
        <w:gridCol w:w="3855"/>
      </w:tblGrid>
      <w:tr>
        <w:tc>
          <w:tcPr>
            <w:tcW w:type="dxa" w:w="3855"/>
          </w:tcPr>
          <w:p>
            <w:pPr>
              <w:spacing w:before="0" w:after="0"/>
              <w:ind w:firstLine="0"/>
              <w:jc w:val="left"/>
            </w:pPr>
            <w:r>
              <w:rPr>
                <w:rFonts w:ascii="Times New Roman" w:hAnsi="Times New Roman"/>
                <w:b/>
                <w:sz w:val="22"/>
              </w:rPr>
              <w:t>Indicator de Impact</w:t>
            </w:r>
          </w:p>
        </w:tc>
        <w:tc>
          <w:tcPr>
            <w:tcW w:type="dxa" w:w="3855"/>
          </w:tcPr>
          <w:p>
            <w:pPr>
              <w:spacing w:before="0" w:after="0"/>
              <w:ind w:firstLine="0"/>
              <w:jc w:val="left"/>
            </w:pPr>
            <w:r>
              <w:rPr>
                <w:rFonts w:ascii="Times New Roman" w:hAnsi="Times New Roman"/>
                <w:b/>
                <w:sz w:val="22"/>
              </w:rPr>
              <w:t>Valoare și Context</w:t>
            </w:r>
          </w:p>
        </w:tc>
      </w:tr>
      <w:tr>
        <w:tc>
          <w:tcPr>
            <w:tcW w:type="dxa" w:w="3855"/>
          </w:tcPr>
          <w:p>
            <w:pPr>
              <w:spacing w:before="0" w:after="0"/>
              <w:ind w:firstLine="0"/>
              <w:jc w:val="left"/>
            </w:pPr>
            <w:r>
              <w:rPr>
                <w:rFonts w:ascii="Times New Roman" w:hAnsi="Times New Roman"/>
                <w:sz w:val="22"/>
              </w:rPr>
              <w:t>Reducere CO₂e</w:t>
            </w:r>
          </w:p>
        </w:tc>
        <w:tc>
          <w:tcPr>
            <w:tcW w:type="dxa" w:w="3855"/>
          </w:tcPr>
          <w:p>
            <w:pPr>
              <w:spacing w:before="0" w:after="0"/>
              <w:ind w:firstLine="0"/>
              <w:jc w:val="left"/>
            </w:pPr>
            <w:r>
              <w:rPr>
                <w:rFonts w:ascii="Times New Roman" w:hAnsi="Times New Roman"/>
                <w:sz w:val="22"/>
              </w:rPr>
              <w:t>50–80 MtCO₂/an la 10.000 comunități active. Echivalent cu eliminarea a 12–20 milioane vehicule convenționale din trafic.</w:t>
            </w:r>
          </w:p>
        </w:tc>
      </w:tr>
      <w:tr>
        <w:tc>
          <w:tcPr>
            <w:tcW w:type="dxa" w:w="3855"/>
          </w:tcPr>
          <w:p>
            <w:pPr>
              <w:spacing w:before="0" w:after="0"/>
              <w:ind w:firstLine="0"/>
              <w:jc w:val="left"/>
            </w:pPr>
            <w:r>
              <w:rPr>
                <w:rFonts w:ascii="Times New Roman" w:hAnsi="Times New Roman"/>
                <w:sz w:val="22"/>
              </w:rPr>
              <w:t>Reducere facturi energie</w:t>
            </w:r>
          </w:p>
        </w:tc>
        <w:tc>
          <w:tcPr>
            <w:tcW w:type="dxa" w:w="3855"/>
          </w:tcPr>
          <w:p>
            <w:pPr>
              <w:spacing w:before="0" w:after="0"/>
              <w:ind w:firstLine="0"/>
              <w:jc w:val="left"/>
            </w:pPr>
            <w:r>
              <w:rPr>
                <w:rFonts w:ascii="Times New Roman" w:hAnsi="Times New Roman"/>
                <w:sz w:val="22"/>
              </w:rPr>
              <w:t>40–60% față de baseline convențional. Economii structurale, nu subvenționate.</w:t>
            </w:r>
          </w:p>
        </w:tc>
      </w:tr>
      <w:tr>
        <w:tc>
          <w:tcPr>
            <w:tcW w:type="dxa" w:w="3855"/>
          </w:tcPr>
          <w:p>
            <w:pPr>
              <w:spacing w:before="0" w:after="0"/>
              <w:ind w:firstLine="0"/>
              <w:jc w:val="left"/>
            </w:pPr>
            <w:r>
              <w:rPr>
                <w:rFonts w:ascii="Times New Roman" w:hAnsi="Times New Roman"/>
                <w:sz w:val="22"/>
              </w:rPr>
              <w:t>Eradicare sărăcie energetică</w:t>
            </w:r>
          </w:p>
        </w:tc>
        <w:tc>
          <w:tcPr>
            <w:tcW w:type="dxa" w:w="3855"/>
          </w:tcPr>
          <w:p>
            <w:pPr>
              <w:spacing w:before="0" w:after="0"/>
              <w:ind w:firstLine="0"/>
              <w:jc w:val="left"/>
            </w:pPr>
            <w:r>
              <w:rPr>
                <w:rFonts w:ascii="Times New Roman" w:hAnsi="Times New Roman"/>
                <w:sz w:val="22"/>
              </w:rPr>
              <w:t>EPI &lt;5% în toate comunitățile certificate A+, față de 20–25% media europeană actuală.</w:t>
            </w:r>
          </w:p>
        </w:tc>
      </w:tr>
      <w:tr>
        <w:tc>
          <w:tcPr>
            <w:tcW w:type="dxa" w:w="3855"/>
          </w:tcPr>
          <w:p>
            <w:pPr>
              <w:spacing w:before="0" w:after="0"/>
              <w:ind w:firstLine="0"/>
              <w:jc w:val="left"/>
            </w:pPr>
            <w:r>
              <w:rPr>
                <w:rFonts w:ascii="Times New Roman" w:hAnsi="Times New Roman"/>
                <w:sz w:val="22"/>
              </w:rPr>
              <w:t>Locuri muncă verzi</w:t>
            </w:r>
          </w:p>
        </w:tc>
        <w:tc>
          <w:tcPr>
            <w:tcW w:type="dxa" w:w="3855"/>
          </w:tcPr>
          <w:p>
            <w:pPr>
              <w:spacing w:before="0" w:after="0"/>
              <w:ind w:firstLine="0"/>
              <w:jc w:val="left"/>
            </w:pPr>
            <w:r>
              <w:rPr>
                <w:rFonts w:ascii="Times New Roman" w:hAnsi="Times New Roman"/>
                <w:sz w:val="22"/>
              </w:rPr>
              <w:t>100.000+ locuri de muncă directe și indirecte la 10.000 comunități: tehnicieni EMS, operatori HUB, specialiști biochar, facilitatori Coop.</w:t>
            </w:r>
          </w:p>
        </w:tc>
      </w:tr>
      <w:tr>
        <w:tc>
          <w:tcPr>
            <w:tcW w:type="dxa" w:w="3855"/>
          </w:tcPr>
          <w:p>
            <w:pPr>
              <w:spacing w:before="0" w:after="0"/>
              <w:ind w:firstLine="0"/>
              <w:jc w:val="left"/>
            </w:pPr>
            <w:r>
              <w:rPr>
                <w:rFonts w:ascii="Times New Roman" w:hAnsi="Times New Roman"/>
                <w:sz w:val="22"/>
              </w:rPr>
              <w:t>Valoare financiară generată</w:t>
            </w:r>
          </w:p>
        </w:tc>
        <w:tc>
          <w:tcPr>
            <w:tcW w:type="dxa" w:w="3855"/>
          </w:tcPr>
          <w:p>
            <w:pPr>
              <w:spacing w:before="0" w:after="0"/>
              <w:ind w:firstLine="0"/>
              <w:jc w:val="left"/>
            </w:pPr>
            <w:r>
              <w:rPr>
                <w:rFonts w:ascii="Times New Roman" w:hAnsi="Times New Roman"/>
                <w:sz w:val="22"/>
              </w:rPr>
              <w:t>5–10 miliarde EUR/an venituri agregate la nivelul meta-rețelei la maturitate (2035+).</w:t>
            </w:r>
          </w:p>
        </w:tc>
      </w:tr>
      <w:tr>
        <w:tc>
          <w:tcPr>
            <w:tcW w:type="dxa" w:w="3855"/>
          </w:tcPr>
          <w:p>
            <w:pPr>
              <w:spacing w:before="0" w:after="0"/>
              <w:ind w:firstLine="0"/>
              <w:jc w:val="left"/>
            </w:pPr>
            <w:r>
              <w:rPr>
                <w:rFonts w:ascii="Times New Roman" w:hAnsi="Times New Roman"/>
                <w:sz w:val="22"/>
              </w:rPr>
              <w:t>Biodiversitate</w:t>
            </w:r>
          </w:p>
        </w:tc>
        <w:tc>
          <w:tcPr>
            <w:tcW w:type="dxa" w:w="3855"/>
          </w:tcPr>
          <w:p>
            <w:pPr>
              <w:spacing w:before="0" w:after="0"/>
              <w:ind w:firstLine="0"/>
              <w:jc w:val="left"/>
            </w:pPr>
            <w:r>
              <w:rPr>
                <w:rFonts w:ascii="Times New Roman" w:hAnsi="Times New Roman"/>
                <w:sz w:val="22"/>
              </w:rPr>
              <w:t>Net-pozitivă: &gt;110% față de baseline prin SymbiotyX, coridoare verzi inter-comunitare, restaurare ecosisteme integrate.</w:t>
            </w:r>
          </w:p>
        </w:tc>
      </w:tr>
    </w:tbl>
    <w:p>
      <w:pPr>
        <w:ind w:firstLine="0"/>
      </w:pPr>
    </w:p>
    <w:p>
      <w:pPr>
        <w:ind w:firstLine="0"/>
      </w:pPr>
    </w:p>
    <w:p>
      <w:pPr>
        <w:pStyle w:val="SubHeading"/>
        <w:keepNext/>
      </w:pPr>
      <w:r>
        <w:t>8.2 Roadmap de implementare 2026–2035</w:t>
      </w:r>
    </w:p>
    <w:p>
      <w:pPr>
        <w:ind w:firstLine="0"/>
      </w:pPr>
    </w:p>
    <w:p>
      <w:pPr/>
      <w:r>
        <w:t>Fazele implementării cu obiective și deliverabile se observă în Tabelul 20.</w:t>
      </w:r>
    </w:p>
    <w:p>
      <w:pPr>
        <w:ind w:firstLine="0"/>
      </w:pPr>
    </w:p>
    <w:p>
      <w:pPr>
        <w:pStyle w:val="TableCaption"/>
      </w:pPr>
      <w:r>
        <w:t>Tabel 20. Fazele implementării cu obiective și deliverabile</w:t>
      </w:r>
    </w:p>
    <w:tbl>
      <w:tblPr>
        <w:tblStyle w:val="TableGrid"/>
        <w:tblW w:type="auto" w:w="0"/>
        <w:jc w:val="center"/>
        <w:tblLook w:firstColumn="1" w:firstRow="1" w:lastColumn="0" w:lastRow="0" w:noHBand="0" w:noVBand="1" w:val="04A0"/>
      </w:tblPr>
      <w:tblGrid>
        <w:gridCol w:w="3855"/>
        <w:gridCol w:w="3855"/>
      </w:tblGrid>
      <w:tr>
        <w:tc>
          <w:tcPr>
            <w:tcW w:type="dxa" w:w="3855"/>
          </w:tcPr>
          <w:p>
            <w:pPr>
              <w:spacing w:before="0" w:after="0"/>
              <w:ind w:firstLine="0"/>
              <w:jc w:val="left"/>
            </w:pPr>
            <w:r>
              <w:rPr>
                <w:rFonts w:ascii="Times New Roman" w:hAnsi="Times New Roman"/>
                <w:b/>
                <w:sz w:val="22"/>
              </w:rPr>
              <w:t>Fază</w:t>
            </w:r>
          </w:p>
        </w:tc>
        <w:tc>
          <w:tcPr>
            <w:tcW w:type="dxa" w:w="3855"/>
          </w:tcPr>
          <w:p>
            <w:pPr>
              <w:spacing w:before="0" w:after="0"/>
              <w:ind w:firstLine="0"/>
              <w:jc w:val="left"/>
            </w:pPr>
            <w:r>
              <w:rPr>
                <w:rFonts w:ascii="Times New Roman" w:hAnsi="Times New Roman"/>
                <w:b/>
                <w:sz w:val="22"/>
              </w:rPr>
              <w:t>Obiective și Deliverabile Principale</w:t>
            </w:r>
          </w:p>
        </w:tc>
      </w:tr>
      <w:tr>
        <w:tc>
          <w:tcPr>
            <w:tcW w:type="dxa" w:w="3855"/>
          </w:tcPr>
          <w:p>
            <w:pPr>
              <w:spacing w:before="0" w:after="0"/>
              <w:ind w:firstLine="0"/>
              <w:jc w:val="left"/>
            </w:pPr>
            <w:r>
              <w:rPr>
                <w:rFonts w:ascii="Times New Roman" w:hAnsi="Times New Roman"/>
                <w:sz w:val="22"/>
              </w:rPr>
              <w:t>Faza 1 (2026)</w:t>
            </w:r>
          </w:p>
        </w:tc>
        <w:tc>
          <w:tcPr>
            <w:tcW w:type="dxa" w:w="3855"/>
          </w:tcPr>
          <w:p>
            <w:pPr>
              <w:spacing w:before="0" w:after="0"/>
              <w:ind w:firstLine="0"/>
              <w:jc w:val="left"/>
            </w:pPr>
            <w:r>
              <w:rPr>
                <w:rFonts w:ascii="Times New Roman" w:hAnsi="Times New Roman"/>
                <w:sz w:val="22"/>
              </w:rPr>
              <w:t>Pilot inaugural: 1–3 comunități pilot, validare arhitecturală completă, certificare Clasa B–A, publicare rezultate în reviste indexate ISI.</w:t>
            </w:r>
          </w:p>
        </w:tc>
      </w:tr>
      <w:tr>
        <w:tc>
          <w:tcPr>
            <w:tcW w:type="dxa" w:w="3855"/>
          </w:tcPr>
          <w:p>
            <w:pPr>
              <w:spacing w:before="0" w:after="0"/>
              <w:ind w:firstLine="0"/>
              <w:jc w:val="left"/>
            </w:pPr>
            <w:r>
              <w:rPr>
                <w:rFonts w:ascii="Times New Roman" w:hAnsi="Times New Roman"/>
                <w:sz w:val="22"/>
              </w:rPr>
              <w:t>Faza 2 (2027–2028)</w:t>
            </w:r>
          </w:p>
        </w:tc>
        <w:tc>
          <w:tcPr>
            <w:tcW w:type="dxa" w:w="3855"/>
          </w:tcPr>
          <w:p>
            <w:pPr>
              <w:spacing w:before="0" w:after="0"/>
              <w:ind w:firstLine="0"/>
              <w:jc w:val="left"/>
            </w:pPr>
            <w:r>
              <w:rPr>
                <w:rFonts w:ascii="Times New Roman" w:hAnsi="Times New Roman"/>
                <w:sz w:val="22"/>
              </w:rPr>
              <w:t>Replicare regională: 10–50 comunități, standardizare Box plug-and-play (≤5 zile/Box instalare), lansare EMS SaaS Pro, HGA la scară.</w:t>
            </w:r>
          </w:p>
        </w:tc>
      </w:tr>
      <w:tr>
        <w:tc>
          <w:tcPr>
            <w:tcW w:type="dxa" w:w="3855"/>
          </w:tcPr>
          <w:p>
            <w:pPr>
              <w:spacing w:before="0" w:after="0"/>
              <w:ind w:firstLine="0"/>
              <w:jc w:val="left"/>
            </w:pPr>
            <w:r>
              <w:rPr>
                <w:rFonts w:ascii="Times New Roman" w:hAnsi="Times New Roman"/>
                <w:sz w:val="22"/>
              </w:rPr>
              <w:t>Faza 3 (2029–2030)</w:t>
            </w:r>
          </w:p>
        </w:tc>
        <w:tc>
          <w:tcPr>
            <w:tcW w:type="dxa" w:w="3855"/>
          </w:tcPr>
          <w:p>
            <w:pPr>
              <w:spacing w:before="0" w:after="0"/>
              <w:ind w:firstLine="0"/>
              <w:jc w:val="left"/>
            </w:pPr>
            <w:r>
              <w:rPr>
                <w:rFonts w:ascii="Times New Roman" w:hAnsi="Times New Roman"/>
                <w:sz w:val="22"/>
              </w:rPr>
              <w:t>Scalare națională: 100–500 comunități, Exergy Online inter-comunitar funcțional, piața SRF/H₂ activă, primul carbon credit pool agregat.</w:t>
            </w:r>
          </w:p>
        </w:tc>
      </w:tr>
      <w:tr>
        <w:tc>
          <w:tcPr>
            <w:tcW w:type="dxa" w:w="3855"/>
          </w:tcPr>
          <w:p>
            <w:pPr>
              <w:spacing w:before="0" w:after="0"/>
              <w:ind w:firstLine="0"/>
              <w:jc w:val="left"/>
            </w:pPr>
            <w:r>
              <w:rPr>
                <w:rFonts w:ascii="Times New Roman" w:hAnsi="Times New Roman"/>
                <w:sz w:val="22"/>
              </w:rPr>
              <w:t>Faza 4 (2031–2033)</w:t>
            </w:r>
          </w:p>
        </w:tc>
        <w:tc>
          <w:tcPr>
            <w:tcW w:type="dxa" w:w="3855"/>
          </w:tcPr>
          <w:p>
            <w:pPr>
              <w:spacing w:before="0" w:after="0"/>
              <w:ind w:firstLine="0"/>
              <w:jc w:val="left"/>
            </w:pPr>
            <w:r>
              <w:rPr>
                <w:rFonts w:ascii="Times New Roman" w:hAnsi="Times New Roman"/>
                <w:sz w:val="22"/>
              </w:rPr>
              <w:t>Scalare europeană: 1.000–3.000 comunități, EnEx Institute acreditat la nivel european, standard E→A+ propus CEN/ISO.</w:t>
            </w:r>
          </w:p>
        </w:tc>
      </w:tr>
      <w:tr>
        <w:tc>
          <w:tcPr>
            <w:tcW w:type="dxa" w:w="3855"/>
          </w:tcPr>
          <w:p>
            <w:pPr>
              <w:spacing w:before="0" w:after="0"/>
              <w:ind w:firstLine="0"/>
              <w:jc w:val="left"/>
            </w:pPr>
            <w:r>
              <w:rPr>
                <w:rFonts w:ascii="Times New Roman" w:hAnsi="Times New Roman"/>
                <w:sz w:val="22"/>
              </w:rPr>
              <w:t>Faza 5 (2034–2035)</w:t>
            </w:r>
          </w:p>
        </w:tc>
        <w:tc>
          <w:tcPr>
            <w:tcW w:type="dxa" w:w="3855"/>
          </w:tcPr>
          <w:p>
            <w:pPr>
              <w:spacing w:before="0" w:after="0"/>
              <w:ind w:firstLine="0"/>
              <w:jc w:val="left"/>
            </w:pPr>
            <w:r>
              <w:rPr>
                <w:rFonts w:ascii="Times New Roman" w:hAnsi="Times New Roman"/>
                <w:sz w:val="22"/>
              </w:rPr>
              <w:t>Scalare globală: 10.000 comunități, Open-X adopție în 30+ țări, impact cuantificat 50–80 MtCO₂/an, meta-rețea auto-susținută.</w:t>
            </w:r>
          </w:p>
        </w:tc>
      </w:tr>
    </w:tbl>
    <w:p>
      <w:pPr>
        <w:ind w:firstLine="0"/>
      </w:pPr>
    </w:p>
    <w:p>
      <w:pPr>
        <w:ind w:firstLine="0"/>
      </w:pPr>
    </w:p>
    <w:p>
      <w:pPr>
        <w:pStyle w:val="ChapterHeading"/>
        <w:keepNext/>
      </w:pPr>
      <w:r>
        <w:t>9. Concluzii</w:t>
      </w:r>
    </w:p>
    <w:p>
      <w:pPr>
        <w:ind w:firstLine="0"/>
      </w:pPr>
    </w:p>
    <w:p>
      <w:pPr/>
      <w:r>
        <w:t>Prezenta lucrare a demonstrat că Exergy Metasystem reprezintă o arhitectură de tip sistem de sisteme cu coerență internă completă, validată pe 8 axe, capabilă să depășească barierele structurale ale energeticii convenționale a localităților prin proprietăți emergente ireductibile la suma componentelor individuale.</w:t>
      </w:r>
    </w:p>
    <w:p>
      <w:pPr/>
      <w:r>
        <w:rPr>
          <w:b/>
        </w:rPr>
        <w:t>Concluzia 1 — Completitudinea Arhitecturală</w:t>
      </w:r>
    </w:p>
    <w:p>
      <w:pPr/>
      <w:r>
        <w:t>Cele 13 componente instituționale organizate pe 4 straturi funcționale formează un sistem de sisteme în care fiecare componentă reduce o entropie specifică și niciuna nu este opțională. Absența oricărei componente produce deficiențe sistemice care nu pot fi compensate de celelalte — aceasta este definiția precisă a unui sistem de sisteme, nu a unei colecții de proiecte.</w:t>
      </w:r>
    </w:p>
    <w:p>
      <w:pPr/>
      <w:r>
        <w:rPr>
          <w:b/>
        </w:rPr>
        <w:t>Concluzia 2 — Completitudinea Tehnologică</w:t>
      </w:r>
    </w:p>
    <w:p>
      <w:pPr/>
      <w:r>
        <w:t>Cele 17+ categorii tehnologice integrate în 9 tipologii de Exergy Box și 12 categorii de Module nu reprezintă diversificare de risc, ci completitudinea cascadei termodinamice N1→N4 pe toți vectorii simultani. Eliminarea oricărei categorii tehnologice produce goluri în cascadă care reduc η_ex sub pragul de 70% al paradigmei exergetice.</w:t>
      </w:r>
    </w:p>
    <w:p>
      <w:pPr/>
      <w:r>
        <w:rPr>
          <w:b/>
        </w:rPr>
        <w:t>Concluzia 3 — Superioritatea Modelului Multi-Flux</w:t>
      </w:r>
    </w:p>
    <w:p>
      <w:pPr/>
      <w:r>
        <w:t>Cele 16+5 fluxuri de venituri în 5 categorii strategice demonstrează că sustenabilitatea financiară a paradigmei exergetice este funcție a integrării sistemice: revenue stacking prin HGA generează Financial Holistic Delta ≥30% față de orice abordare mono-flux sau mono-vector. Modelul Open-Core cu conversie premium ≥15% asigură echilibrul optim între adopție globală și viabilitate comercială.</w:t>
      </w:r>
    </w:p>
    <w:p>
      <w:pPr/>
      <w:r>
        <w:rPr>
          <w:b/>
        </w:rPr>
        <w:t>Concluzia 4 — Protecția Compusă prin 7 Moat-uri</w:t>
      </w:r>
    </w:p>
    <w:p>
      <w:pPr/>
      <w:r>
        <w:t>Complexitatea arhitecturală, în loc să fie o barieră de adopție, devine cel mai puternic moat strategic al sistemului. Cele 7 bariere strategice interconectate formează un sistem de protecție auto-întăritor a cărui intensitate crește cu fiecare comunitate adăugată în meta-rețea — transformând scalarea dintr-o provocare într-un avantaj competitiv compus și ireproductibil.</w:t>
      </w:r>
    </w:p>
    <w:p>
      <w:pPr>
        <w:ind w:firstLine="0"/>
      </w:pPr>
    </w:p>
    <w:p>
      <w:pPr>
        <w:pStyle w:val="SubHeading"/>
        <w:keepNext/>
      </w:pPr>
      <w:r>
        <w:t>9.1 Limitări recunoscute</w:t>
      </w:r>
    </w:p>
    <w:p>
      <w:pPr>
        <w:ind w:firstLine="0"/>
      </w:pPr>
    </w:p>
    <w:p>
      <w:pPr/>
      <w:r>
        <w:t>Lucrarea recunoaște trei limitări principale care vor fi adresate în cercetările ulterioare: (a) absența datelor empirice din funcționarea reală a arhitecturii complete — disponibile după pilotul inaugural 2026–2027; (b) estimările financiare ale fluxurilor de venituri se bazează pe analogii de piață și nu pe contracte actuale; (c) indicatorii de impact la scară (50–80 MtCO₂/an) sunt proiectări pe baza modelului matematic, nevalidate empiric la scară de meta-rețea.</w:t>
      </w:r>
    </w:p>
    <w:p>
      <w:pPr>
        <w:ind w:firstLine="0"/>
      </w:pPr>
    </w:p>
    <w:p>
      <w:pPr>
        <w:pStyle w:val="SubHeading"/>
        <w:keepNext/>
      </w:pPr>
      <w:r>
        <w:t>9.2 Direcții ulterioare de cercetare</w:t>
      </w:r>
    </w:p>
    <w:p>
      <w:pPr>
        <w:ind w:firstLine="0"/>
      </w:pPr>
    </w:p>
    <w:p>
      <w:pPr>
        <w:pStyle w:val="ListParagraph"/>
        <w:ind w:left="1" w:hanging="1"/>
      </w:pPr>
      <w:r>
        <w:t>5. Publicarea bilanțurilor exergetice reale din pilotul inaugural (2027) ca validare empirică a η_ex ≥70% la nivel de sistem complet.</w:t>
      </w:r>
    </w:p>
    <w:p>
      <w:pPr>
        <w:pStyle w:val="ListParagraph"/>
        <w:ind w:left="1" w:hanging="1"/>
      </w:pPr>
      <w:r>
        <w:t>6. Formalizarea algoritmului HGA ca model matematic complet pentru optimizare multi-criterială pe 13+ vectori, publicabil în IEEE Transactions on Energy Systems.</w:t>
      </w:r>
    </w:p>
    <w:p>
      <w:pPr>
        <w:pStyle w:val="ListParagraph"/>
        <w:ind w:left="1" w:hanging="1"/>
      </w:pPr>
      <w:r>
        <w:t>7. Analiza comparativă internațională a sistemelor de sisteme energetice (Energy Internet China, Virtual Net Metering SUA, Positive Energy Districts UE) față de arhitectura propusă.</w:t>
      </w:r>
    </w:p>
    <w:p>
      <w:pPr>
        <w:pStyle w:val="ListParagraph"/>
        <w:ind w:left="1" w:hanging="1"/>
      </w:pPr>
      <w:r>
        <w:t>8. Propunerea formală a standardului E→A+ pentru adoptare în cadrul CEN/CENELEC ca complement la Directiva EPBD la nivel de localitate.</w:t>
      </w:r>
    </w:p>
    <w:p>
      <w:pPr>
        <w:ind w:firstLine="0"/>
      </w:pPr>
    </w:p>
    <w:p>
      <w:pPr>
        <w:ind w:firstLine="0"/>
      </w:pPr>
    </w:p>
    <w:p>
      <w:pPr>
        <w:pStyle w:val="Title"/>
      </w:pPr>
      <w:r>
        <w:rPr>
          <w:b w:val="0"/>
        </w:rPr>
        <w:t>EXERGY METASYSTEM AS A SYSTEM OF SYSTEMS: THE 13 INTERCONNECTED INSTITUTIONAL COMPONENTS, 17+ TECHNOLOGICAL CATEGORIES AND 16+5 REVENUE STREAMS AN INTEGRATED MULTI-LAYER ARCHITECTURE FOR TERRITORIAL REGENERATIVE ENERGY</w:t>
      </w:r>
    </w:p>
    <w:p>
      <w:pPr>
        <w:ind w:firstLine="0"/>
      </w:pPr>
    </w:p>
    <w:p>
      <w:pPr>
        <w:ind w:firstLine="0"/>
      </w:pPr>
    </w:p>
    <w:p>
      <w:pPr>
        <w:pStyle w:val="ChapterHeading"/>
      </w:pPr>
      <w:r>
        <w:t>Abstract</w:t>
      </w:r>
    </w:p>
    <w:p>
      <w:pPr>
        <w:ind w:firstLine="0"/>
      </w:pPr>
    </w:p>
    <w:p>
      <w:pPr/>
      <w:r>
        <w:rPr>
          <w:i/>
        </w:rPr>
        <w:t>This paper analyses the architecture of the Exergy Metasystem as a system of systems — an integrated, multi-scalar, regenerative structure orchestrating 13 interconnected institutional components, 17+ technological categories, and 16+5 revenue streams organised in 5 strategic categories. The paper argues that overcoming the structural barriers of conventional community energy systems is not possible through optimisation of individual components, but exclusively through a complete systemic architecture that generates emergent properties at each level of the N0→N6 hierarchy. The four functional strata of the metasystem are analysed, along with the Multi-Vector Holistic Aggregator as a central innovation without precedent in the industry, the Open-Core business model with 16+5 revenue streams, and the 7 strategic moats ensuring compound competitive protection. The 17+ integrated technological categories are presented, showing how each reduces a specific form of systemic entropy. Conclusions propose recognition of the exergetic system-of-systems paradigm as a reference framework for European energy transition policies for territories, arguing that the quantified impact — 50–80 MtCO₂/yr reduced, Financial Holistic Delta ≥30%, Cross-Vector Synergy Gain ≥15% — is not achievable through any component-isolated approach.</w:t>
      </w:r>
    </w:p>
    <w:p>
      <w:pPr>
        <w:ind w:firstLine="0"/>
      </w:pPr>
    </w:p>
    <w:p>
      <w:pPr>
        <w:ind w:firstLine="0"/>
      </w:pPr>
    </w:p>
    <w:p>
      <w:pPr>
        <w:ind w:firstLine="0"/>
      </w:pPr>
    </w:p>
    <w:p>
      <w:pPr>
        <w:ind w:firstLine="0"/>
      </w:pPr>
    </w:p>
    <w:p>
      <w:pPr>
        <w:pStyle w:val="BibliographyHeader"/>
      </w:pPr>
      <w:r>
        <w:t>Bibliografie</w:t>
      </w:r>
    </w:p>
    <w:p>
      <w:pPr>
        <w:ind w:firstLine="0"/>
      </w:pPr>
    </w:p>
    <w:p>
      <w:pPr>
        <w:pStyle w:val="BibliographyEntry"/>
      </w:pPr>
      <w:r>
        <w:rPr>
          <w:rFonts w:ascii="Times New Roman" w:hAnsi="Times New Roman"/>
          <w:b/>
          <w:sz w:val="22"/>
        </w:rPr>
        <w:t>[0] Bejan, A., Tsatsaronis, G., Moran, M. (1996).</w:t>
      </w:r>
      <w:r>
        <w:rPr>
          <w:rFonts w:ascii="Times New Roman" w:hAnsi="Times New Roman"/>
          <w:i/>
          <w:sz w:val="22"/>
        </w:rPr>
        <w:t xml:space="preserve"> Thermal Design and Optimization.</w:t>
      </w:r>
      <w:r>
        <w:rPr>
          <w:rFonts w:ascii="Times New Roman" w:hAnsi="Times New Roman"/>
          <w:sz w:val="22"/>
        </w:rPr>
        <w:t xml:space="preserve"> John Wiley &amp; Sons, New York.</w:t>
      </w:r>
    </w:p>
    <w:p>
      <w:pPr>
        <w:pStyle w:val="BibliographyEntry"/>
      </w:pPr>
      <w:r>
        <w:rPr>
          <w:rFonts w:ascii="Times New Roman" w:hAnsi="Times New Roman"/>
          <w:b/>
          <w:sz w:val="22"/>
        </w:rPr>
        <w:t>[1] Rosen, M.A., Dincer, I. (2003).</w:t>
      </w:r>
      <w:r>
        <w:rPr>
          <w:rFonts w:ascii="Times New Roman" w:hAnsi="Times New Roman"/>
          <w:i/>
          <w:sz w:val="22"/>
        </w:rPr>
        <w:t xml:space="preserve"> Exergy methods for assessing and comparing energy systems in buildings.</w:t>
      </w:r>
      <w:r>
        <w:rPr>
          <w:rFonts w:ascii="Times New Roman" w:hAnsi="Times New Roman"/>
          <w:sz w:val="22"/>
        </w:rPr>
        <w:t xml:space="preserve"> Energy and Buildings, 35(1), 71–79.</w:t>
      </w:r>
    </w:p>
    <w:p>
      <w:pPr>
        <w:pStyle w:val="BibliographyEntry"/>
      </w:pPr>
      <w:r>
        <w:rPr>
          <w:rFonts w:ascii="Times New Roman" w:hAnsi="Times New Roman"/>
          <w:b/>
          <w:sz w:val="22"/>
        </w:rPr>
        <w:t>[2] Wall, G. (1986).</w:t>
      </w:r>
      <w:r>
        <w:rPr>
          <w:rFonts w:ascii="Times New Roman" w:hAnsi="Times New Roman"/>
          <w:i/>
          <w:sz w:val="22"/>
        </w:rPr>
        <w:t xml:space="preserve"> Exergy — A Useful Concept.</w:t>
      </w:r>
      <w:r>
        <w:rPr>
          <w:rFonts w:ascii="Times New Roman" w:hAnsi="Times New Roman"/>
          <w:sz w:val="22"/>
        </w:rPr>
        <w:t xml:space="preserve"> Chalmers University of Technology, Göteborg, Sweden.</w:t>
      </w:r>
    </w:p>
    <w:p>
      <w:pPr>
        <w:pStyle w:val="BibliographyEntry"/>
      </w:pPr>
      <w:r>
        <w:rPr>
          <w:rFonts w:ascii="Times New Roman" w:hAnsi="Times New Roman"/>
          <w:b/>
          <w:sz w:val="22"/>
        </w:rPr>
        <w:t>[3] Szargut, J., Morris, D.R., Steward, F.R. (1988).</w:t>
      </w:r>
      <w:r>
        <w:rPr>
          <w:rFonts w:ascii="Times New Roman" w:hAnsi="Times New Roman"/>
          <w:i/>
          <w:sz w:val="22"/>
        </w:rPr>
        <w:t xml:space="preserve"> Exergy Analysis of Thermal, Chemical, and Metallurgical Processes.</w:t>
      </w:r>
      <w:r>
        <w:rPr>
          <w:rFonts w:ascii="Times New Roman" w:hAnsi="Times New Roman"/>
          <w:sz w:val="22"/>
        </w:rPr>
        <w:t xml:space="preserve"> Hemisphere Publishing Corporation.</w:t>
      </w:r>
    </w:p>
    <w:p>
      <w:pPr>
        <w:pStyle w:val="BibliographyEntry"/>
      </w:pPr>
      <w:r>
        <w:rPr>
          <w:rFonts w:ascii="Times New Roman" w:hAnsi="Times New Roman"/>
          <w:b/>
          <w:sz w:val="22"/>
        </w:rPr>
        <w:t>[4] Tsatsaronis, G. (1993).</w:t>
      </w:r>
      <w:r>
        <w:rPr>
          <w:rFonts w:ascii="Times New Roman" w:hAnsi="Times New Roman"/>
          <w:i/>
          <w:sz w:val="22"/>
        </w:rPr>
        <w:t xml:space="preserve"> Thermoeconomic analysis and optimization of energy systems.</w:t>
      </w:r>
      <w:r>
        <w:rPr>
          <w:rFonts w:ascii="Times New Roman" w:hAnsi="Times New Roman"/>
          <w:sz w:val="22"/>
        </w:rPr>
        <w:t xml:space="preserve"> Progress in Energy and Combustion Science, 19(3), 227–257.</w:t>
      </w:r>
    </w:p>
    <w:p>
      <w:pPr>
        <w:pStyle w:val="BibliographyEntry"/>
      </w:pPr>
      <w:r>
        <w:rPr>
          <w:rFonts w:ascii="Times New Roman" w:hAnsi="Times New Roman"/>
          <w:b/>
          <w:sz w:val="22"/>
        </w:rPr>
        <w:t>[5] Lund, H., Werner, S., Wiltshire, R., Svendsen, S., Thorsen, J.E., Hvelplund, F., Mathiesen, B.V. (2014).</w:t>
      </w:r>
      <w:r>
        <w:rPr>
          <w:rFonts w:ascii="Times New Roman" w:hAnsi="Times New Roman"/>
          <w:i/>
          <w:sz w:val="22"/>
        </w:rPr>
        <w:t xml:space="preserve"> 4th Generation District Heating (4GDH).</w:t>
      </w:r>
      <w:r>
        <w:rPr>
          <w:rFonts w:ascii="Times New Roman" w:hAnsi="Times New Roman"/>
          <w:sz w:val="22"/>
        </w:rPr>
        <w:t xml:space="preserve"> Energy, 68, 1–11.</w:t>
      </w:r>
    </w:p>
    <w:p>
      <w:pPr>
        <w:pStyle w:val="BibliographyEntry"/>
      </w:pPr>
      <w:r>
        <w:rPr>
          <w:rFonts w:ascii="Times New Roman" w:hAnsi="Times New Roman"/>
          <w:b/>
          <w:sz w:val="22"/>
        </w:rPr>
        <w:t>[6] Li, H., Svendsen, S. (2012).</w:t>
      </w:r>
      <w:r>
        <w:rPr>
          <w:rFonts w:ascii="Times New Roman" w:hAnsi="Times New Roman"/>
          <w:i/>
          <w:sz w:val="22"/>
        </w:rPr>
        <w:t xml:space="preserve"> Energy and Exergy Analysis of Low Temperature District Heating Network.</w:t>
      </w:r>
      <w:r>
        <w:rPr>
          <w:rFonts w:ascii="Times New Roman" w:hAnsi="Times New Roman"/>
          <w:sz w:val="22"/>
        </w:rPr>
        <w:t xml:space="preserve"> Energy, 45(1), 237–246.</w:t>
      </w:r>
    </w:p>
    <w:p>
      <w:pPr>
        <w:pStyle w:val="BibliographyEntry"/>
      </w:pPr>
      <w:r>
        <w:rPr>
          <w:rFonts w:ascii="Times New Roman" w:hAnsi="Times New Roman"/>
          <w:b/>
          <w:sz w:val="22"/>
        </w:rPr>
        <w:t>[7] Buffa, S., Cozzini, M., D'Antoni, M., Baratieri, M., Fedrizzi, R. (2019).</w:t>
      </w:r>
      <w:r>
        <w:rPr>
          <w:rFonts w:ascii="Times New Roman" w:hAnsi="Times New Roman"/>
          <w:i/>
          <w:sz w:val="22"/>
        </w:rPr>
        <w:t xml:space="preserve"> 5th Generation District Heating and Cooling Systems: A Review.</w:t>
      </w:r>
      <w:r>
        <w:rPr>
          <w:rFonts w:ascii="Times New Roman" w:hAnsi="Times New Roman"/>
          <w:sz w:val="22"/>
        </w:rPr>
        <w:t xml:space="preserve"> Renewable and Sustainable Energy Reviews, 104, 504–522.</w:t>
      </w:r>
    </w:p>
    <w:p>
      <w:pPr>
        <w:pStyle w:val="BibliographyEntry"/>
      </w:pPr>
      <w:r>
        <w:rPr>
          <w:rFonts w:ascii="Times New Roman" w:hAnsi="Times New Roman"/>
          <w:b/>
          <w:sz w:val="22"/>
        </w:rPr>
        <w:t>[8] IEA DHC (2024).</w:t>
      </w:r>
      <w:r>
        <w:rPr>
          <w:rFonts w:ascii="Times New Roman" w:hAnsi="Times New Roman"/>
          <w:i/>
          <w:sz w:val="22"/>
        </w:rPr>
        <w:t xml:space="preserve"> District Heating Network Generation Definitions.</w:t>
      </w:r>
      <w:r>
        <w:rPr>
          <w:rFonts w:ascii="Times New Roman" w:hAnsi="Times New Roman"/>
          <w:sz w:val="22"/>
        </w:rPr>
        <w:t xml:space="preserve"> IEA Technology Collaboration Programme on District Heating and Cooling.</w:t>
      </w:r>
    </w:p>
    <w:p>
      <w:pPr>
        <w:pStyle w:val="BibliographyEntry"/>
      </w:pPr>
      <w:r>
        <w:rPr>
          <w:rFonts w:ascii="Times New Roman" w:hAnsi="Times New Roman"/>
          <w:b/>
          <w:sz w:val="22"/>
        </w:rPr>
        <w:t>[9] Holland, J.H. (1998).</w:t>
      </w:r>
      <w:r>
        <w:rPr>
          <w:rFonts w:ascii="Times New Roman" w:hAnsi="Times New Roman"/>
          <w:i/>
          <w:sz w:val="22"/>
        </w:rPr>
        <w:t xml:space="preserve"> Emergence: From Chaos to Order.</w:t>
      </w:r>
      <w:r>
        <w:rPr>
          <w:rFonts w:ascii="Times New Roman" w:hAnsi="Times New Roman"/>
          <w:sz w:val="22"/>
        </w:rPr>
        <w:t xml:space="preserve"> Perseus Books, Cambridge MA.</w:t>
      </w:r>
    </w:p>
    <w:p>
      <w:pPr>
        <w:pStyle w:val="BibliographyEntry"/>
      </w:pPr>
      <w:r>
        <w:rPr>
          <w:rFonts w:ascii="Times New Roman" w:hAnsi="Times New Roman"/>
          <w:b/>
          <w:sz w:val="22"/>
        </w:rPr>
        <w:t>[10] Kauffman, S.A. (1993).</w:t>
      </w:r>
      <w:r>
        <w:rPr>
          <w:rFonts w:ascii="Times New Roman" w:hAnsi="Times New Roman"/>
          <w:i/>
          <w:sz w:val="22"/>
        </w:rPr>
        <w:t xml:space="preserve"> The Origins of Order: Self-Organization and Selection in Evolution.</w:t>
      </w:r>
      <w:r>
        <w:rPr>
          <w:rFonts w:ascii="Times New Roman" w:hAnsi="Times New Roman"/>
          <w:sz w:val="22"/>
        </w:rPr>
        <w:t xml:space="preserve"> Oxford University Press.</w:t>
      </w:r>
    </w:p>
    <w:p>
      <w:pPr>
        <w:pStyle w:val="BibliographyEntry"/>
      </w:pPr>
      <w:r>
        <w:rPr>
          <w:rFonts w:ascii="Times New Roman" w:hAnsi="Times New Roman"/>
          <w:b/>
          <w:sz w:val="22"/>
        </w:rPr>
        <w:t>[11] Maier, M.W. (1998).</w:t>
      </w:r>
      <w:r>
        <w:rPr>
          <w:rFonts w:ascii="Times New Roman" w:hAnsi="Times New Roman"/>
          <w:i/>
          <w:sz w:val="22"/>
        </w:rPr>
        <w:t xml:space="preserve"> Architecting principles for systems-of-systems.</w:t>
      </w:r>
      <w:r>
        <w:rPr>
          <w:rFonts w:ascii="Times New Roman" w:hAnsi="Times New Roman"/>
          <w:sz w:val="22"/>
        </w:rPr>
        <w:t xml:space="preserve"> Systems Engineering, 1(4), 267–284.</w:t>
      </w:r>
    </w:p>
    <w:p>
      <w:pPr>
        <w:pStyle w:val="BibliographyEntry"/>
      </w:pPr>
      <w:r>
        <w:rPr>
          <w:rFonts w:ascii="Times New Roman" w:hAnsi="Times New Roman"/>
          <w:b/>
          <w:sz w:val="22"/>
        </w:rPr>
        <w:t>[12] Chesbrough, H.W. (2003).</w:t>
      </w:r>
      <w:r>
        <w:rPr>
          <w:rFonts w:ascii="Times New Roman" w:hAnsi="Times New Roman"/>
          <w:i/>
          <w:sz w:val="22"/>
        </w:rPr>
        <w:t xml:space="preserve"> Open Innovation: The New Imperative for Creating and Profiting from Technology.</w:t>
      </w:r>
      <w:r>
        <w:rPr>
          <w:rFonts w:ascii="Times New Roman" w:hAnsi="Times New Roman"/>
          <w:sz w:val="22"/>
        </w:rPr>
        <w:t xml:space="preserve"> Harvard Business School Press.</w:t>
      </w:r>
    </w:p>
    <w:p>
      <w:pPr>
        <w:pStyle w:val="BibliographyEntry"/>
      </w:pPr>
      <w:r>
        <w:rPr>
          <w:rFonts w:ascii="Times New Roman" w:hAnsi="Times New Roman"/>
          <w:b/>
          <w:sz w:val="22"/>
        </w:rPr>
        <w:t>[13] Parker, G., Van Alstyne, M., Choudary, S.P. (2016).</w:t>
      </w:r>
      <w:r>
        <w:rPr>
          <w:rFonts w:ascii="Times New Roman" w:hAnsi="Times New Roman"/>
          <w:i/>
          <w:sz w:val="22"/>
        </w:rPr>
        <w:t xml:space="preserve"> Platform Revolution.</w:t>
      </w:r>
      <w:r>
        <w:rPr>
          <w:rFonts w:ascii="Times New Roman" w:hAnsi="Times New Roman"/>
          <w:sz w:val="22"/>
        </w:rPr>
        <w:t xml:space="preserve"> W.W. Norton &amp; Company.</w:t>
      </w:r>
    </w:p>
    <w:p>
      <w:pPr>
        <w:pStyle w:val="BibliographyEntry"/>
      </w:pPr>
      <w:r>
        <w:rPr>
          <w:rFonts w:ascii="Times New Roman" w:hAnsi="Times New Roman"/>
          <w:b/>
          <w:sz w:val="22"/>
        </w:rPr>
        <w:t>[14] EnEx Institute (2026).</w:t>
      </w:r>
      <w:r>
        <w:rPr>
          <w:rFonts w:ascii="Times New Roman" w:hAnsi="Times New Roman"/>
          <w:i/>
          <w:sz w:val="22"/>
        </w:rPr>
        <w:t xml:space="preserve"> Fundamentare Conceptuală Exergy Metasystem V4.0. Document de Fundamentare Conceptuală, Filozofică și Arhitecturală.</w:t>
      </w:r>
      <w:r>
        <w:rPr>
          <w:rFonts w:ascii="Times New Roman" w:hAnsi="Times New Roman"/>
          <w:sz w:val="22"/>
        </w:rPr>
        <w:t xml:space="preserve"> Exergy Consortium.</w:t>
      </w:r>
    </w:p>
    <w:p>
      <w:pPr>
        <w:pStyle w:val="BibliographyEntry"/>
      </w:pPr>
      <w:r>
        <w:rPr>
          <w:rFonts w:ascii="Times New Roman" w:hAnsi="Times New Roman"/>
          <w:b/>
          <w:sz w:val="22"/>
        </w:rPr>
        <w:t>[15] EnEx Institute (2026).</w:t>
      </w:r>
      <w:r>
        <w:rPr>
          <w:rFonts w:ascii="Times New Roman" w:hAnsi="Times New Roman"/>
          <w:i/>
          <w:sz w:val="22"/>
        </w:rPr>
        <w:t xml:space="preserve"> Model Specification Exergy Metasystem V3.0.</w:t>
      </w:r>
      <w:r>
        <w:rPr>
          <w:rFonts w:ascii="Times New Roman" w:hAnsi="Times New Roman"/>
          <w:sz w:val="22"/>
        </w:rPr>
        <w:t xml:space="preserve"> Exergy Consortium.</w:t>
      </w:r>
    </w:p>
    <w:p>
      <w:pPr>
        <w:pStyle w:val="BibliographyEntry"/>
      </w:pPr>
      <w:r>
        <w:rPr>
          <w:rFonts w:ascii="Times New Roman" w:hAnsi="Times New Roman"/>
          <w:b/>
          <w:sz w:val="22"/>
        </w:rPr>
        <w:t>[16] EnEx Institute (2026).</w:t>
      </w:r>
      <w:r>
        <w:rPr>
          <w:rFonts w:ascii="Times New Roman" w:hAnsi="Times New Roman"/>
          <w:i/>
          <w:sz w:val="22"/>
        </w:rPr>
        <w:t xml:space="preserve"> Model de Business Inovator V3.0 — Open-Core Regenerative Energy Ecosystem. 16 Fluxuri de Venituri + 5 Surse Suplimentare.</w:t>
      </w:r>
      <w:r>
        <w:rPr>
          <w:rFonts w:ascii="Times New Roman" w:hAnsi="Times New Roman"/>
          <w:sz w:val="22"/>
        </w:rPr>
      </w:r>
    </w:p>
    <w:p>
      <w:pPr>
        <w:pStyle w:val="BibliographyEntry"/>
      </w:pPr>
      <w:r>
        <w:rPr>
          <w:rFonts w:ascii="Times New Roman" w:hAnsi="Times New Roman"/>
          <w:b/>
          <w:sz w:val="22"/>
        </w:rPr>
        <w:t>[17] EnEx Institute (2026).</w:t>
      </w:r>
      <w:r>
        <w:rPr>
          <w:rFonts w:ascii="Times New Roman" w:hAnsi="Times New Roman"/>
          <w:i/>
          <w:sz w:val="22"/>
        </w:rPr>
        <w:t xml:space="preserve"> Open-X Framework V2.0 — Cadrul Complet Open Science &amp; 12 Dimensiuni Open-X. Model de Business Open-Core + PBC + Exergy Benefit Trust.</w:t>
      </w:r>
      <w:r>
        <w:rPr>
          <w:rFonts w:ascii="Times New Roman" w:hAnsi="Times New Roman"/>
          <w:sz w:val="22"/>
        </w:rPr>
      </w:r>
    </w:p>
    <w:p>
      <w:pPr>
        <w:pStyle w:val="BibliographyEntry"/>
      </w:pPr>
      <w:r>
        <w:rPr>
          <w:rFonts w:ascii="Times New Roman" w:hAnsi="Times New Roman"/>
          <w:b/>
          <w:sz w:val="22"/>
        </w:rPr>
        <w:t>[18] EnEx Institute (2026).</w:t>
      </w:r>
      <w:r>
        <w:rPr>
          <w:rFonts w:ascii="Times New Roman" w:hAnsi="Times New Roman"/>
          <w:i/>
          <w:sz w:val="22"/>
        </w:rPr>
        <w:t xml:space="preserve"> Matricea de Coerență Exergy Metasystem V3.0. Validare Sistemică pe 8 Axe.</w:t>
      </w:r>
      <w:r>
        <w:rPr>
          <w:rFonts w:ascii="Times New Roman" w:hAnsi="Times New Roman"/>
          <w:sz w:val="22"/>
        </w:rPr>
      </w:r>
    </w:p>
    <w:p>
      <w:pPr>
        <w:pStyle w:val="BibliographyEntry"/>
      </w:pPr>
      <w:r>
        <w:rPr>
          <w:rFonts w:ascii="Times New Roman" w:hAnsi="Times New Roman"/>
          <w:b/>
          <w:sz w:val="22"/>
        </w:rPr>
        <w:t>[19] EnEx Institute (2026).</w:t>
      </w:r>
      <w:r>
        <w:rPr>
          <w:rFonts w:ascii="Times New Roman" w:hAnsi="Times New Roman"/>
          <w:i/>
          <w:sz w:val="22"/>
        </w:rPr>
        <w:t xml:space="preserve"> Exergy Community — Doctrine &amp; Principles Framework V1.0.</w:t>
      </w:r>
      <w:r>
        <w:rPr>
          <w:rFonts w:ascii="Times New Roman" w:hAnsi="Times New Roman"/>
          <w:sz w:val="22"/>
        </w:rPr>
      </w:r>
    </w:p>
    <w:p>
      <w:pPr>
        <w:pStyle w:val="BibliographyEntry"/>
      </w:pPr>
      <w:r>
        <w:rPr>
          <w:rFonts w:ascii="Times New Roman" w:hAnsi="Times New Roman"/>
          <w:b/>
          <w:sz w:val="22"/>
        </w:rPr>
        <w:t>[20]</w:t>
      </w:r>
      <w:r>
        <w:rPr>
          <w:rFonts w:ascii="Times New Roman" w:hAnsi="Times New Roman"/>
          <w:i/>
          <w:sz w:val="22"/>
        </w:rPr>
        <w:t xml:space="preserve"> Directiva (UE) 2023/2413 — RED III (Renewable Energy Directive III).</w:t>
      </w:r>
      <w:r>
        <w:rPr>
          <w:rFonts w:ascii="Times New Roman" w:hAnsi="Times New Roman"/>
          <w:sz w:val="22"/>
        </w:rPr>
        <w:t xml:space="preserve"> Jurnalul Oficial al Uniunii Europene, 31.10.2023.</w:t>
      </w:r>
    </w:p>
    <w:p>
      <w:pPr>
        <w:pStyle w:val="BibliographyEntry"/>
      </w:pPr>
      <w:r>
        <w:rPr>
          <w:rFonts w:ascii="Times New Roman" w:hAnsi="Times New Roman"/>
          <w:b/>
          <w:sz w:val="22"/>
        </w:rPr>
        <w:t>[21]</w:t>
      </w:r>
      <w:r>
        <w:rPr>
          <w:rFonts w:ascii="Times New Roman" w:hAnsi="Times New Roman"/>
          <w:i/>
          <w:sz w:val="22"/>
        </w:rPr>
        <w:t xml:space="preserve"> Directiva (UE) 2023/1791 — Directiva privind Eficiența Energetică, Articolul 26.</w:t>
      </w:r>
      <w:r>
        <w:rPr>
          <w:rFonts w:ascii="Times New Roman" w:hAnsi="Times New Roman"/>
          <w:sz w:val="22"/>
        </w:rPr>
        <w:t xml:space="preserve"> Jurnalul Oficial al Uniunii Europene.</w:t>
      </w:r>
    </w:p>
    <w:p>
      <w:pPr>
        <w:pStyle w:val="BibliographyEntry"/>
      </w:pPr>
      <w:r>
        <w:rPr>
          <w:rFonts w:ascii="Times New Roman" w:hAnsi="Times New Roman"/>
          <w:b/>
          <w:sz w:val="22"/>
        </w:rPr>
        <w:t>[22]</w:t>
      </w:r>
      <w:r>
        <w:rPr>
          <w:rFonts w:ascii="Times New Roman" w:hAnsi="Times New Roman"/>
          <w:i/>
          <w:sz w:val="22"/>
        </w:rPr>
        <w:t xml:space="preserve"> Regulamentul (UE) 2024/1735 — CRCF (Carbon Removal Certification Framework).</w:t>
      </w:r>
      <w:r>
        <w:rPr>
          <w:rFonts w:ascii="Times New Roman" w:hAnsi="Times New Roman"/>
          <w:sz w:val="22"/>
        </w:rPr>
      </w:r>
    </w:p>
    <w:p>
      <w:pPr>
        <w:pStyle w:val="BibliographyEntry"/>
      </w:pPr>
      <w:r>
        <w:rPr>
          <w:rFonts w:ascii="Times New Roman" w:hAnsi="Times New Roman"/>
          <w:b/>
          <w:sz w:val="22"/>
        </w:rPr>
        <w:t>[23] IEA (2024).</w:t>
      </w:r>
      <w:r>
        <w:rPr>
          <w:rFonts w:ascii="Times New Roman" w:hAnsi="Times New Roman"/>
          <w:i/>
          <w:sz w:val="22"/>
        </w:rPr>
        <w:t xml:space="preserve"> Renewables 2024: Analysis and Forecast to 2030.</w:t>
      </w:r>
      <w:r>
        <w:rPr>
          <w:rFonts w:ascii="Times New Roman" w:hAnsi="Times New Roman"/>
          <w:sz w:val="22"/>
        </w:rPr>
        <w:t xml:space="preserve"> International Energy Agency, Paris.</w:t>
      </w:r>
    </w:p>
    <w:sectPr w:rsidR="00FC693F" w:rsidRPr="0006063C" w:rsidSect="00034616">
      <w:pgSz w:w="9978" w:h="14173"/>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firstLine="7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before="0"/>
      <w:ind w:firstLine="720"/>
      <w:jc w:val="both"/>
    </w:pPr>
    <w:rPr>
      <w:rFonts w:ascii="Times New Roman" w:hAnsi="Times New Roman"/>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240" w:lineRule="auto" w:before="0"/>
      <w:ind w:firstLine="0" w:left="0"/>
      <w:contextualSpacing/>
      <w:jc w:val="center"/>
      <w:pBdr>
        <w:bottom w:val="none" w:sz="0" w:space="0" w:color="auto"/>
      </w:pBdr>
    </w:pPr>
    <w:rPr>
      <w:rFonts w:ascii="Times New Roman" w:hAnsi="Times New Roman"/>
      <w:b/>
      <w:i w:val="0"/>
      <w:color w:val="000000"/>
      <w:spacing w:val="5"/>
      <w:kern w:val="28"/>
      <w:sz w:val="2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0" w:line="240" w:lineRule="auto"/>
      <w:ind w:left="0" w:firstLine="0"/>
      <w:contextualSpacing/>
      <w:jc w:val="both"/>
    </w:pPr>
    <w:rPr>
      <w:rFonts w:ascii="Times New Roman" w:hAnsi="Times New Roman"/>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Heading">
    <w:name w:val="Chapter Heading"/>
    <w:basedOn w:val="Normal"/>
    <w:pPr>
      <w:spacing w:before="0" w:after="0" w:line="240" w:lineRule="auto"/>
      <w:ind w:firstLine="0" w:left="720"/>
      <w:jc w:val="left"/>
    </w:pPr>
    <w:rPr>
      <w:rFonts w:ascii="Times New Roman" w:hAnsi="Times New Roman"/>
      <w:b/>
      <w:i w:val="0"/>
      <w:color w:val="000000"/>
      <w:sz w:val="22"/>
    </w:rPr>
  </w:style>
  <w:style w:type="paragraph" w:customStyle="1" w:styleId="SubHeading">
    <w:name w:val="Sub Heading"/>
    <w:basedOn w:val="Normal"/>
    <w:pPr>
      <w:spacing w:before="0" w:after="0" w:line="240" w:lineRule="auto"/>
      <w:ind w:firstLine="0" w:left="720"/>
      <w:jc w:val="left"/>
    </w:pPr>
    <w:rPr>
      <w:rFonts w:ascii="Times New Roman" w:hAnsi="Times New Roman"/>
      <w:b/>
      <w:i w:val="0"/>
      <w:color w:val="000000"/>
      <w:sz w:val="22"/>
    </w:rPr>
  </w:style>
  <w:style w:type="paragraph" w:customStyle="1" w:styleId="Author">
    <w:name w:val="Author"/>
    <w:basedOn w:val="Normal"/>
    <w:pPr>
      <w:ind w:firstLine="0" w:left="0"/>
      <w:jc w:val="center"/>
    </w:pPr>
    <w:rPr>
      <w:rFonts w:ascii="Times New Roman" w:hAnsi="Times New Roman"/>
      <w:b w:val="0"/>
      <w:sz w:val="22"/>
    </w:rPr>
  </w:style>
  <w:style w:type="paragraph" w:customStyle="1" w:styleId="AbstractText">
    <w:name w:val="Abstract Text"/>
    <w:basedOn w:val="Normal"/>
    <w:pPr>
      <w:ind w:firstLine="720"/>
      <w:jc w:val="both"/>
    </w:pPr>
    <w:rPr>
      <w:rFonts w:ascii="Times New Roman" w:hAnsi="Times New Roman"/>
      <w:i/>
      <w:sz w:val="22"/>
    </w:rPr>
  </w:style>
  <w:style w:type="paragraph" w:customStyle="1" w:styleId="FigureCaption">
    <w:name w:val="Figure Caption"/>
    <w:basedOn w:val="Normal"/>
    <w:pPr>
      <w:ind w:firstLine="0" w:left="0"/>
      <w:jc w:val="center"/>
    </w:pPr>
    <w:rPr>
      <w:rFonts w:ascii="Times New Roman" w:hAnsi="Times New Roman"/>
      <w:sz w:val="18"/>
    </w:rPr>
  </w:style>
  <w:style w:type="paragraph" w:customStyle="1" w:styleId="TableCaption">
    <w:name w:val="Table Caption"/>
    <w:basedOn w:val="Normal"/>
    <w:pPr>
      <w:ind w:firstLine="0" w:left="0"/>
      <w:jc w:val="center"/>
    </w:pPr>
    <w:rPr>
      <w:rFonts w:ascii="Times New Roman" w:hAnsi="Times New Roman"/>
      <w:b/>
      <w:sz w:val="20"/>
    </w:rPr>
  </w:style>
  <w:style w:type="paragraph" w:customStyle="1" w:styleId="BibliographyHeader">
    <w:name w:val="Bibliography Header"/>
    <w:basedOn w:val="Normal"/>
    <w:pPr>
      <w:ind w:firstLine="0" w:left="0"/>
      <w:jc w:val="center"/>
    </w:pPr>
    <w:rPr>
      <w:rFonts w:ascii="Times New Roman" w:hAnsi="Times New Roman"/>
      <w:b/>
      <w:sz w:val="24"/>
    </w:rPr>
  </w:style>
  <w:style w:type="paragraph" w:customStyle="1" w:styleId="BibliographyEntry">
    <w:name w:val="Bibliography Entry"/>
    <w:basedOn w:val="Normal"/>
    <w:pPr>
      <w:ind w:firstLine="0" w:left="0"/>
      <w:jc w:val="both"/>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