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HUB-UL ENERGETIC CA NUCLEU MODULAR AL INFRASTRUCTURII COMUNITARE:</w:t>
      </w:r>
    </w:p>
    <w:p>
      <w:pPr>
        <w:pStyle w:val="Title"/>
      </w:pPr>
      <w:r>
        <w:t>ARHITECTURA MODULARA, CASCADA TERMODINAMICA</w:t>
      </w:r>
    </w:p>
    <w:p>
      <w:pPr>
        <w:pStyle w:val="Title"/>
      </w:pPr>
      <w:r>
        <w:t>SI PRINCIPIUL PLUG-AND-PLAY IN ENERGETICA LOCALITATILOR</w:t>
      </w:r>
    </w:p>
    <w:p>
      <w:pPr>
        <w:ind w:firstLine="0"/>
      </w:pPr>
    </w:p>
    <w:p>
      <w:pPr>
        <w:pStyle w:val="Author"/>
      </w:pPr>
      <w:r>
        <w:t>Gheorghe Badea, George Naghiu, Andrei Măgureanu</w:t>
      </w:r>
    </w:p>
    <w:p>
      <w:pPr>
        <w:ind w:firstLine="0"/>
      </w:pPr>
    </w:p>
    <w:p>
      <w:pPr>
        <w:ind w:firstLine="0"/>
      </w:pPr>
    </w:p>
    <w:p>
      <w:pPr>
        <w:pStyle w:val="ChapterHeading"/>
      </w:pPr>
      <w:r>
        <w:t>Rezumat</w:t>
      </w:r>
    </w:p>
    <w:p>
      <w:pPr>
        <w:ind w:firstLine="0"/>
      </w:pPr>
    </w:p>
    <w:p>
      <w:pPr/>
      <w:r>
        <w:rPr>
          <w:i/>
        </w:rPr>
        <w:t>Lucrarea propune o analiza tehnica si teoretica a Exergy HUB ca nucleu modular al infrastructurii energetice comunitare -- unitatea functionala de nivel N2 a ierarhiei Exergy Metasystem. Sunt examinate cele 9 tipologii de Exergy Box (EB-CHP, EB-TPC, EB-SOL, EB-H2, EB-STO, EB-EVC, EB-EMS, EB-S2E, EB-MIX), principiul plug-and-play prin containerizare ISO 668, cascada termodinamica pe 4 niveluri de temperatura (N1: 80-90 grade C, N2: 50-65 grade C, N3: 30-45 grade C, N4: upgrade prin pompe de caldura COP 4-5), arhitectura de management EMS AI pe 8 bucle ierarhice de feedback, si cele 5 configuratii tipice de HUB. Contributia centrala consta in demonstrarea ca Exergy HUB nu este un simplu agregat de echipamente, ci un organ energetic cu proprietati emergente -- eficienta exergetica η_ex &gt;=70% la nivel HUB vs. 15-35% la nivelul componentelor individuale, eliminarea SPOF prin redundanta structurala, si un castig emergent de +3-8% η_ex suplimentar prin cascada inter-Box. Sunt prezentate cele 34+ inovatii catalogate pe 5 tipuri si justificarea principiului plug-and-play ca paradigma de industrializare a infrastructurii energetice comunitare la scara globala.</w:t>
      </w:r>
    </w:p>
    <w:p>
      <w:pPr>
        <w:ind w:firstLine="0"/>
      </w:pPr>
    </w:p>
    <w:p>
      <w:pPr>
        <w:pStyle w:val="ChapterHeading"/>
        <w:keepNext/>
      </w:pPr>
      <w:r>
        <w:t>1. Introducere: Necesitatea Unui Nucleu Modular Standardizat in Energetica Localitatilor</w:t>
      </w:r>
    </w:p>
    <w:p>
      <w:pPr>
        <w:ind w:firstLine="0"/>
      </w:pPr>
    </w:p>
    <w:p>
      <w:pPr/>
      <w:r>
        <w:t>Infrastructura energetica a localitatilor a fost proiectata si construita, in ultimele decenii, pe logica centralei termice sau a statiei de transformare: un punct central de conversie, retele lungi de distributie, consumatori pasivi la capatul rampei. Aceasta arhitectura centralizata a generat sistemele de termoficare 1G-3G cu pierderi de retea de 10-25%, eficiente exergetice globale de 8-15%, puncte unice de defectiune (SPOF) cu impact asupra intregii comunitati, si incapacitate structurala de integrare a surselor regenerabile distribuite.</w:t>
      </w:r>
    </w:p>
    <w:p>
      <w:pPr/>
      <w:r>
        <w:t>Trecerea la generatiile avansate 4G-6G nu este posibila prin simpla modernizare a centralei existente. Necesita o schimbare arhitecturala fundamentala: distribuirea inteligentei energetice in nuclee modulare amplasate in proximitatea consumatorilor, cu capacitate de dispatch multi-vector, cascada termodinamica si management AI integrat. Exergy HUB este raspunsul sistemic la aceasta necesitate: un organ energetic modular, prefabricat, certificat si instalabil plug-and-play, care concentreaza intr-un ansamblu compact surse multiple, stocari multi-tip, 5+ vectori energetici si management AI.</w:t>
      </w:r>
    </w:p>
    <w:p>
      <w:pPr/>
      <w:r>
        <w:t>Noutatea nu consta in existenta echipamentelor individuale -- acestea exista deja pe piata. Noutatea este arhitectura integrarii lor: cascada termodinamica pe 4 niveluri intre Box-uri distincte, dispatch AI multi-vector cu Quality Matching in timp real, eliminarea structurala a SPOF, si standardizarea care permite replicabilitatea la scara globala. Aceasta lucrare analizeaza, formalizeaza si demonstreaza aceasta arhitectura din perspectiva academica si inginereasca.</w:t>
      </w:r>
    </w:p>
    <w:p>
      <w:pPr/>
      <w:r>
        <w:rPr>
          <w:b/>
        </w:rPr>
        <w:t>Teza centrala a lucrarii</w:t>
      </w:r>
    </w:p>
    <w:p>
      <w:pPr/>
      <w:r>
        <w:t>Exergy HUB nu este o colectie de echipamente -- este un organ energetic cu proprietati emergente. Eficienta exergetica η_ex &gt;=70% la nivel HUB nu este suma eficientelor componentelor individuale (15-35%), ci o proprietate emergenta a cascadei inter-Box si a dispatch-ului AI. Standardizarea HUB ca nucleu modular plug-and-play este conditia necesara pentru industrializarea si scalarea infrastructurii energetice comunitare regenerative.</w:t>
      </w:r>
    </w:p>
    <w:p>
      <w:pPr>
        <w:ind w:firstLine="0"/>
      </w:pPr>
    </w:p>
    <w:p>
      <w:pPr>
        <w:pStyle w:val="SubHeading"/>
        <w:keepNext/>
      </w:pPr>
      <w:r>
        <w:t>1.1 Obiectivele lucrarii</w:t>
      </w:r>
    </w:p>
    <w:p>
      <w:pPr>
        <w:ind w:firstLine="0"/>
      </w:pPr>
    </w:p>
    <w:p>
      <w:pPr>
        <w:pStyle w:val="ListParagraph"/>
        <w:ind w:left="1" w:hanging="1"/>
      </w:pPr>
      <w:r>
        <w:t>1. Definirea formala a Exergy HUB ca organ energetic N2 in ierarhia Exergy Metasystem si justificarea riguroasa a analogiei cu organul biologic.</w:t>
      </w:r>
    </w:p>
    <w:p>
      <w:pPr>
        <w:pStyle w:val="ListParagraph"/>
        <w:ind w:left="1" w:hanging="1"/>
      </w:pPr>
      <w:r>
        <w:t>2. Descrierea completa a celor 9 tipologii de Exergy Box cu specificatiile tehnice, cascada termodinamica si domeniile de aplicabilitate.</w:t>
      </w:r>
    </w:p>
    <w:p>
      <w:pPr>
        <w:pStyle w:val="ListParagraph"/>
        <w:ind w:left="1" w:hanging="1"/>
      </w:pPr>
      <w:r>
        <w:t>3. Demonstrarea principiului plug-and-play prin containerizare ISO 668 si cuantificarea avantajelor fata de solutiile conventionale.</w:t>
      </w:r>
    </w:p>
    <w:p>
      <w:pPr>
        <w:pStyle w:val="ListParagraph"/>
        <w:ind w:left="1" w:hanging="1"/>
      </w:pPr>
      <w:r>
        <w:t>4. Analiza formala a cascadei termodinamice pe 4 niveluri inter-Box si demonstrarea numerica a castigului emergent de eficienta η_ex.</w:t>
      </w:r>
    </w:p>
    <w:p>
      <w:pPr>
        <w:pStyle w:val="ListParagraph"/>
        <w:ind w:left="1" w:hanging="1"/>
      </w:pPr>
      <w:r>
        <w:t>5. Prezentarea arhitecturii EMS AI pe 8 bucle de feedback ierarhice si rolul sau in orchestrarea complexitatii HUB.</w:t>
      </w:r>
    </w:p>
    <w:p>
      <w:pPr>
        <w:pStyle w:val="ListParagraph"/>
        <w:ind w:left="1" w:hanging="1"/>
      </w:pPr>
      <w:r>
        <w:t>6. Configuratiile tipice de HUB si aplicabilitatea lor in contexte comunitare diverse (rural biomasic, urban solar, industrial).</w:t>
      </w:r>
    </w:p>
    <w:p>
      <w:pPr>
        <w:ind w:firstLine="0"/>
      </w:pPr>
    </w:p>
    <w:p>
      <w:pPr>
        <w:pStyle w:val="SubHeading"/>
        <w:keepNext/>
      </w:pPr>
      <w:r>
        <w:t>1.2 Metodologie</w:t>
      </w:r>
    </w:p>
    <w:p>
      <w:pPr>
        <w:ind w:firstLine="0"/>
      </w:pPr>
    </w:p>
    <w:p>
      <w:pPr/>
      <w:r>
        <w:t>Lucrarea combina analiza termodinamica formala (bilant exergetic pe cascada N1-N4, calculul Ex_destroyed = T0 x S_gen per interfata), specificatii tehnice din Model Spec Exergy HUB V4.0 si Exergy Box V4.0 (EnEx Institute, 2026), comparatii cu instalatii conventionale echivalente, si demonstrarea proprietatilor emergente prin analiza sistemica (Holland, 1998; Maier, 1998). Studiul de caz de referinta este proiectul de modernizare a infrastructurii de termoficare dintr-o localitate rurala montana din nordul Transilvaniei (SMIS 327216, Contract 5696/31.12.2025), reprezentand prima validare la scara reala a tranzitiei de la arhitectura Gen.3 centralizata la arhitectura Gen.6 cu 3 HUB-uri Energetice distribuite.</w:t>
      </w:r>
    </w:p>
    <w:p>
      <w:pPr>
        <w:ind w:firstLine="0"/>
      </w:pPr>
    </w:p>
    <w:p>
      <w:pPr>
        <w:pStyle w:val="ChapterHeading"/>
        <w:keepNext/>
      </w:pPr>
      <w:r>
        <w:t>2. Exergy Hub -- Definitie, Pozitie in Ierarhie si Analogia cu Organul Biologic</w:t>
      </w:r>
    </w:p>
    <w:p>
      <w:pPr>
        <w:ind w:firstLine="0"/>
      </w:pPr>
    </w:p>
    <w:p>
      <w:pPr>
        <w:pStyle w:val="SubHeading"/>
        <w:keepNext/>
      </w:pPr>
      <w:r>
        <w:t>2.1 Pozitia in ierarhia multi-scalara n0-n6</w:t>
      </w:r>
    </w:p>
    <w:p>
      <w:pPr>
        <w:ind w:firstLine="0"/>
      </w:pPr>
    </w:p>
    <w:p>
      <w:pPr/>
      <w:r>
        <w:t>Exergy HUB ocupa Nivelul 2 (N2) al ierarhiei sistemice Exergy Metasystem -- nivelul organului in analogia biologica. Ierarhia completa pozitioneaza HUB-ul intre celula (Exergy Box, N1) si tesut (Micro-Grid, N3), intr-o structura cu sapte niveluri:</w:t>
      </w:r>
    </w:p>
    <w:p>
      <w:pPr/>
      <w:r>
        <w:t>Nivelurile hierarchice ale sistemului cu analogii biologice și proprietăți emergente sunt prezentate în Tabelul 1.</w:t>
      </w:r>
    </w:p>
    <w:p>
      <w:pPr>
        <w:ind w:firstLine="0"/>
      </w:pPr>
    </w:p>
    <w:p>
      <w:pPr>
        <w:pStyle w:val="TableCaption"/>
      </w:pPr>
      <w:r>
        <w:t>Tabel 1. Nivelurile hierarchice ale sistemului cu analogii biologice și proprietăți emergente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Nivel</w:t>
            </w:r>
          </w:p>
        </w:tc>
        <w:tc>
          <w:tcPr>
            <w:tcW w:type="dxa" w:w="1927"/>
          </w:tcPr>
          <w:p>
            <w:pPr>
              <w:spacing w:before="0" w:after="0"/>
              <w:ind w:firstLine="0"/>
              <w:jc w:val="left"/>
            </w:pPr>
            <w:r>
              <w:rPr>
                <w:rFonts w:ascii="Times New Roman" w:hAnsi="Times New Roman"/>
                <w:b/>
                <w:sz w:val="22"/>
              </w:rPr>
              <w:t>Analogie Biologica</w:t>
            </w:r>
          </w:p>
        </w:tc>
        <w:tc>
          <w:tcPr>
            <w:tcW w:type="dxa" w:w="1927"/>
          </w:tcPr>
          <w:p>
            <w:pPr>
              <w:spacing w:before="0" w:after="0"/>
              <w:ind w:firstLine="0"/>
              <w:jc w:val="left"/>
            </w:pPr>
            <w:r>
              <w:rPr>
                <w:rFonts w:ascii="Times New Roman" w:hAnsi="Times New Roman"/>
                <w:b/>
                <w:sz w:val="22"/>
              </w:rPr>
              <w:t>Continut si Componente</w:t>
            </w:r>
          </w:p>
        </w:tc>
        <w:tc>
          <w:tcPr>
            <w:tcW w:type="dxa" w:w="1927"/>
          </w:tcPr>
          <w:p>
            <w:pPr>
              <w:spacing w:before="0" w:after="0"/>
              <w:ind w:firstLine="0"/>
              <w:jc w:val="left"/>
            </w:pPr>
            <w:r>
              <w:rPr>
                <w:rFonts w:ascii="Times New Roman" w:hAnsi="Times New Roman"/>
                <w:b/>
                <w:sz w:val="22"/>
              </w:rPr>
              <w:t>Proprietate Emergenta</w:t>
            </w:r>
          </w:p>
        </w:tc>
      </w:tr>
      <w:tr>
        <w:tc>
          <w:tcPr>
            <w:tcW w:type="dxa" w:w="1927"/>
          </w:tcPr>
          <w:p>
            <w:pPr>
              <w:spacing w:before="0" w:after="0"/>
              <w:ind w:firstLine="0"/>
              <w:jc w:val="left"/>
            </w:pPr>
            <w:r>
              <w:rPr>
                <w:rFonts w:ascii="Times New Roman" w:hAnsi="Times New Roman"/>
                <w:sz w:val="22"/>
              </w:rPr>
              <w:t>N0 -- Module</w:t>
            </w:r>
          </w:p>
        </w:tc>
        <w:tc>
          <w:tcPr>
            <w:tcW w:type="dxa" w:w="1927"/>
          </w:tcPr>
          <w:p>
            <w:pPr>
              <w:spacing w:before="0" w:after="0"/>
              <w:ind w:firstLine="0"/>
              <w:jc w:val="left"/>
            </w:pPr>
            <w:r>
              <w:rPr>
                <w:rFonts w:ascii="Times New Roman" w:hAnsi="Times New Roman"/>
                <w:sz w:val="22"/>
              </w:rPr>
              <w:t>Molecula</w:t>
            </w:r>
          </w:p>
        </w:tc>
        <w:tc>
          <w:tcPr>
            <w:tcW w:type="dxa" w:w="1927"/>
          </w:tcPr>
          <w:p>
            <w:pPr>
              <w:spacing w:before="0" w:after="0"/>
              <w:ind w:firstLine="0"/>
              <w:jc w:val="left"/>
            </w:pPr>
            <w:r>
              <w:rPr>
                <w:rFonts w:ascii="Times New Roman" w:hAnsi="Times New Roman"/>
                <w:sz w:val="22"/>
              </w:rPr>
              <w:t>12 categorii M-01 la M-12: conversie, stocare, control</w:t>
            </w:r>
          </w:p>
        </w:tc>
        <w:tc>
          <w:tcPr>
            <w:tcW w:type="dxa" w:w="1927"/>
          </w:tcPr>
          <w:p>
            <w:pPr>
              <w:spacing w:before="0" w:after="0"/>
              <w:ind w:firstLine="0"/>
              <w:jc w:val="left"/>
            </w:pPr>
            <w:r>
              <w:rPr>
                <w:rFonts w:ascii="Times New Roman" w:hAnsi="Times New Roman"/>
                <w:sz w:val="22"/>
              </w:rPr>
              <w:t>Performanta specifica per tehnologie</w:t>
            </w:r>
          </w:p>
        </w:tc>
      </w:tr>
      <w:tr>
        <w:tc>
          <w:tcPr>
            <w:tcW w:type="dxa" w:w="1927"/>
          </w:tcPr>
          <w:p>
            <w:pPr>
              <w:spacing w:before="0" w:after="0"/>
              <w:ind w:firstLine="0"/>
              <w:jc w:val="left"/>
            </w:pPr>
            <w:r>
              <w:rPr>
                <w:rFonts w:ascii="Times New Roman" w:hAnsi="Times New Roman"/>
                <w:sz w:val="22"/>
              </w:rPr>
              <w:t>N1 -- Exergy Box</w:t>
            </w:r>
          </w:p>
        </w:tc>
        <w:tc>
          <w:tcPr>
            <w:tcW w:type="dxa" w:w="1927"/>
          </w:tcPr>
          <w:p>
            <w:pPr>
              <w:spacing w:before="0" w:after="0"/>
              <w:ind w:firstLine="0"/>
              <w:jc w:val="left"/>
            </w:pPr>
            <w:r>
              <w:rPr>
                <w:rFonts w:ascii="Times New Roman" w:hAnsi="Times New Roman"/>
                <w:sz w:val="22"/>
              </w:rPr>
              <w:t>Celula</w:t>
            </w:r>
          </w:p>
        </w:tc>
        <w:tc>
          <w:tcPr>
            <w:tcW w:type="dxa" w:w="1927"/>
          </w:tcPr>
          <w:p>
            <w:pPr>
              <w:spacing w:before="0" w:after="0"/>
              <w:ind w:firstLine="0"/>
              <w:jc w:val="left"/>
            </w:pPr>
            <w:r>
              <w:rPr>
                <w:rFonts w:ascii="Times New Roman" w:hAnsi="Times New Roman"/>
                <w:sz w:val="22"/>
              </w:rPr>
              <w:t>9 tipologii containerizate ISO 668</w:t>
            </w:r>
          </w:p>
        </w:tc>
        <w:tc>
          <w:tcPr>
            <w:tcW w:type="dxa" w:w="1927"/>
          </w:tcPr>
          <w:p>
            <w:pPr>
              <w:spacing w:before="0" w:after="0"/>
              <w:ind w:firstLine="0"/>
              <w:jc w:val="left"/>
            </w:pPr>
            <w:r>
              <w:rPr>
                <w:rFonts w:ascii="Times New Roman" w:hAnsi="Times New Roman"/>
                <w:sz w:val="22"/>
              </w:rPr>
              <w:t>Cascada intra-Box + Quality Matching local</w:t>
            </w:r>
          </w:p>
        </w:tc>
      </w:tr>
      <w:tr>
        <w:tc>
          <w:tcPr>
            <w:tcW w:type="dxa" w:w="1927"/>
          </w:tcPr>
          <w:p>
            <w:pPr>
              <w:spacing w:before="0" w:after="0"/>
              <w:ind w:firstLine="0"/>
              <w:jc w:val="left"/>
            </w:pPr>
            <w:r>
              <w:rPr>
                <w:rFonts w:ascii="Times New Roman" w:hAnsi="Times New Roman"/>
                <w:sz w:val="22"/>
              </w:rPr>
              <w:t>N2 -- Exergy HUB</w:t>
            </w:r>
          </w:p>
        </w:tc>
        <w:tc>
          <w:tcPr>
            <w:tcW w:type="dxa" w:w="1927"/>
          </w:tcPr>
          <w:p>
            <w:pPr>
              <w:spacing w:before="0" w:after="0"/>
              <w:ind w:firstLine="0"/>
              <w:jc w:val="left"/>
            </w:pPr>
            <w:r>
              <w:rPr>
                <w:rFonts w:ascii="Times New Roman" w:hAnsi="Times New Roman"/>
                <w:sz w:val="22"/>
              </w:rPr>
              <w:t>Organul</w:t>
            </w:r>
          </w:p>
        </w:tc>
        <w:tc>
          <w:tcPr>
            <w:tcW w:type="dxa" w:w="1927"/>
          </w:tcPr>
          <w:p>
            <w:pPr>
              <w:spacing w:before="0" w:after="0"/>
              <w:ind w:firstLine="0"/>
              <w:jc w:val="left"/>
            </w:pPr>
            <w:r>
              <w:rPr>
                <w:rFonts w:ascii="Times New Roman" w:hAnsi="Times New Roman"/>
                <w:sz w:val="22"/>
              </w:rPr>
              <w:t>Ansamblu multi-Box + EMS AI + interfete standardizate</w:t>
            </w:r>
          </w:p>
        </w:tc>
        <w:tc>
          <w:tcPr>
            <w:tcW w:type="dxa" w:w="1927"/>
          </w:tcPr>
          <w:p>
            <w:pPr>
              <w:spacing w:before="0" w:after="0"/>
              <w:ind w:firstLine="0"/>
              <w:jc w:val="left"/>
            </w:pPr>
            <w:r>
              <w:rPr>
                <w:rFonts w:ascii="Times New Roman" w:hAnsi="Times New Roman"/>
                <w:sz w:val="22"/>
              </w:rPr>
              <w:t>η_ex &gt;=70% + dispatch multi-vector + redundanta structurala</w:t>
            </w:r>
          </w:p>
        </w:tc>
      </w:tr>
      <w:tr>
        <w:tc>
          <w:tcPr>
            <w:tcW w:type="dxa" w:w="1927"/>
          </w:tcPr>
          <w:p>
            <w:pPr>
              <w:spacing w:before="0" w:after="0"/>
              <w:ind w:firstLine="0"/>
              <w:jc w:val="left"/>
            </w:pPr>
            <w:r>
              <w:rPr>
                <w:rFonts w:ascii="Times New Roman" w:hAnsi="Times New Roman"/>
                <w:sz w:val="22"/>
              </w:rPr>
              <w:t>N3 -- Micro-Grid</w:t>
            </w:r>
          </w:p>
        </w:tc>
        <w:tc>
          <w:tcPr>
            <w:tcW w:type="dxa" w:w="1927"/>
          </w:tcPr>
          <w:p>
            <w:pPr>
              <w:spacing w:before="0" w:after="0"/>
              <w:ind w:firstLine="0"/>
              <w:jc w:val="left"/>
            </w:pPr>
            <w:r>
              <w:rPr>
                <w:rFonts w:ascii="Times New Roman" w:hAnsi="Times New Roman"/>
                <w:sz w:val="22"/>
              </w:rPr>
              <w:t>Tesutul</w:t>
            </w:r>
          </w:p>
        </w:tc>
        <w:tc>
          <w:tcPr>
            <w:tcW w:type="dxa" w:w="1927"/>
          </w:tcPr>
          <w:p>
            <w:pPr>
              <w:spacing w:before="0" w:after="0"/>
              <w:ind w:firstLine="0"/>
              <w:jc w:val="left"/>
            </w:pPr>
            <w:r>
              <w:rPr>
                <w:rFonts w:ascii="Times New Roman" w:hAnsi="Times New Roman"/>
                <w:sz w:val="22"/>
              </w:rPr>
              <w:t>Subreteaua locala de HUB-uri</w:t>
            </w:r>
          </w:p>
        </w:tc>
        <w:tc>
          <w:tcPr>
            <w:tcW w:type="dxa" w:w="1927"/>
          </w:tcPr>
          <w:p>
            <w:pPr>
              <w:spacing w:before="0" w:after="0"/>
              <w:ind w:firstLine="0"/>
              <w:jc w:val="left"/>
            </w:pPr>
            <w:r>
              <w:rPr>
                <w:rFonts w:ascii="Times New Roman" w:hAnsi="Times New Roman"/>
                <w:sz w:val="22"/>
              </w:rPr>
              <w:t>Autonomie insulara &gt;=48h + echilibrare inter-HUB</w:t>
            </w:r>
          </w:p>
        </w:tc>
      </w:tr>
      <w:tr>
        <w:tc>
          <w:tcPr>
            <w:tcW w:type="dxa" w:w="1927"/>
          </w:tcPr>
          <w:p>
            <w:pPr>
              <w:spacing w:before="0" w:after="0"/>
              <w:ind w:firstLine="0"/>
              <w:jc w:val="left"/>
            </w:pPr>
            <w:r>
              <w:rPr>
                <w:rFonts w:ascii="Times New Roman" w:hAnsi="Times New Roman"/>
                <w:sz w:val="22"/>
              </w:rPr>
              <w:t>N4 -- Grid</w:t>
            </w:r>
          </w:p>
        </w:tc>
        <w:tc>
          <w:tcPr>
            <w:tcW w:type="dxa" w:w="1927"/>
          </w:tcPr>
          <w:p>
            <w:pPr>
              <w:spacing w:before="0" w:after="0"/>
              <w:ind w:firstLine="0"/>
              <w:jc w:val="left"/>
            </w:pPr>
            <w:r>
              <w:rPr>
                <w:rFonts w:ascii="Times New Roman" w:hAnsi="Times New Roman"/>
                <w:sz w:val="22"/>
              </w:rPr>
              <w:t>Sistemul circulator</w:t>
            </w:r>
          </w:p>
        </w:tc>
        <w:tc>
          <w:tcPr>
            <w:tcW w:type="dxa" w:w="1927"/>
          </w:tcPr>
          <w:p>
            <w:pPr>
              <w:spacing w:before="0" w:after="0"/>
              <w:ind w:firstLine="0"/>
              <w:jc w:val="left"/>
            </w:pPr>
            <w:r>
              <w:rPr>
                <w:rFonts w:ascii="Times New Roman" w:hAnsi="Times New Roman"/>
                <w:sz w:val="22"/>
              </w:rPr>
              <w:t>Reteaua comunitara completa multi-circuit</w:t>
            </w:r>
          </w:p>
        </w:tc>
        <w:tc>
          <w:tcPr>
            <w:tcW w:type="dxa" w:w="1927"/>
          </w:tcPr>
          <w:p>
            <w:pPr>
              <w:spacing w:before="0" w:after="0"/>
              <w:ind w:firstLine="0"/>
              <w:jc w:val="left"/>
            </w:pPr>
            <w:r>
              <w:rPr>
                <w:rFonts w:ascii="Times New Roman" w:hAnsi="Times New Roman"/>
                <w:sz w:val="22"/>
              </w:rPr>
              <w:t>Echilibrare dinamica + integrare externa SEN</w:t>
            </w:r>
          </w:p>
        </w:tc>
      </w:tr>
      <w:tr>
        <w:tc>
          <w:tcPr>
            <w:tcW w:type="dxa" w:w="1927"/>
          </w:tcPr>
          <w:p>
            <w:pPr>
              <w:spacing w:before="0" w:after="0"/>
              <w:ind w:firstLine="0"/>
              <w:jc w:val="left"/>
            </w:pPr>
            <w:r>
              <w:rPr>
                <w:rFonts w:ascii="Times New Roman" w:hAnsi="Times New Roman"/>
                <w:sz w:val="22"/>
              </w:rPr>
              <w:t>N5 -- Community (CEE)</w:t>
            </w:r>
          </w:p>
        </w:tc>
        <w:tc>
          <w:tcPr>
            <w:tcW w:type="dxa" w:w="1927"/>
          </w:tcPr>
          <w:p>
            <w:pPr>
              <w:spacing w:before="0" w:after="0"/>
              <w:ind w:firstLine="0"/>
              <w:jc w:val="left"/>
            </w:pPr>
            <w:r>
              <w:rPr>
                <w:rFonts w:ascii="Times New Roman" w:hAnsi="Times New Roman"/>
                <w:sz w:val="22"/>
              </w:rPr>
              <w:t>Organismul complet</w:t>
            </w:r>
          </w:p>
        </w:tc>
        <w:tc>
          <w:tcPr>
            <w:tcW w:type="dxa" w:w="1927"/>
          </w:tcPr>
          <w:p>
            <w:pPr>
              <w:spacing w:before="0" w:after="0"/>
              <w:ind w:firstLine="0"/>
              <w:jc w:val="left"/>
            </w:pPr>
            <w:r>
              <w:rPr>
                <w:rFonts w:ascii="Times New Roman" w:hAnsi="Times New Roman"/>
                <w:sz w:val="22"/>
              </w:rPr>
              <w:t>Infrastructura + guvernanta + solidaritate + circularitate</w:t>
            </w:r>
          </w:p>
        </w:tc>
        <w:tc>
          <w:tcPr>
            <w:tcW w:type="dxa" w:w="1927"/>
          </w:tcPr>
          <w:p>
            <w:pPr>
              <w:spacing w:before="0" w:after="0"/>
              <w:ind w:firstLine="0"/>
              <w:jc w:val="left"/>
            </w:pPr>
            <w:r>
              <w:rPr>
                <w:rFonts w:ascii="Times New Roman" w:hAnsi="Times New Roman"/>
                <w:sz w:val="22"/>
              </w:rPr>
              <w:t>6 proprietati emergente E1-E6 ale CEE</w:t>
            </w:r>
          </w:p>
        </w:tc>
      </w:tr>
      <w:tr>
        <w:tc>
          <w:tcPr>
            <w:tcW w:type="dxa" w:w="1927"/>
          </w:tcPr>
          <w:p>
            <w:pPr>
              <w:spacing w:before="0" w:after="0"/>
              <w:ind w:firstLine="0"/>
              <w:jc w:val="left"/>
            </w:pPr>
            <w:r>
              <w:rPr>
                <w:rFonts w:ascii="Times New Roman" w:hAnsi="Times New Roman"/>
                <w:sz w:val="22"/>
              </w:rPr>
              <w:t>N6 -- Meta-Network</w:t>
            </w:r>
          </w:p>
        </w:tc>
        <w:tc>
          <w:tcPr>
            <w:tcW w:type="dxa" w:w="1927"/>
          </w:tcPr>
          <w:p>
            <w:pPr>
              <w:spacing w:before="0" w:after="0"/>
              <w:ind w:firstLine="0"/>
              <w:jc w:val="left"/>
            </w:pPr>
            <w:r>
              <w:rPr>
                <w:rFonts w:ascii="Times New Roman" w:hAnsi="Times New Roman"/>
                <w:sz w:val="22"/>
              </w:rPr>
              <w:t>Ecosistemul</w:t>
            </w:r>
          </w:p>
        </w:tc>
        <w:tc>
          <w:tcPr>
            <w:tcW w:type="dxa" w:w="1927"/>
          </w:tcPr>
          <w:p>
            <w:pPr>
              <w:spacing w:before="0" w:after="0"/>
              <w:ind w:firstLine="0"/>
              <w:jc w:val="left"/>
            </w:pPr>
            <w:r>
              <w:rPr>
                <w:rFonts w:ascii="Times New Roman" w:hAnsi="Times New Roman"/>
                <w:sz w:val="22"/>
              </w:rPr>
              <w:t>Retea de comunitati interconectate (Exergy Online)</w:t>
            </w:r>
          </w:p>
        </w:tc>
        <w:tc>
          <w:tcPr>
            <w:tcW w:type="dxa" w:w="1927"/>
          </w:tcPr>
          <w:p>
            <w:pPr>
              <w:spacing w:before="0" w:after="0"/>
              <w:ind w:firstLine="0"/>
              <w:jc w:val="left"/>
            </w:pPr>
            <w:r>
              <w:rPr>
                <w:rFonts w:ascii="Times New Roman" w:hAnsi="Times New Roman"/>
                <w:sz w:val="22"/>
              </w:rPr>
              <w:t>Piata exergetica + antifragilitate + echilibrare sezoniera</w:t>
            </w:r>
          </w:p>
        </w:tc>
      </w:tr>
    </w:tbl>
    <w:p>
      <w:pPr>
        <w:ind w:firstLine="0"/>
      </w:pPr>
    </w:p>
    <w:p>
      <w:pPr>
        <w:ind w:firstLine="0"/>
      </w:pPr>
    </w:p>
    <w:p>
      <w:pPr>
        <w:pStyle w:val="SubHeading"/>
        <w:keepNext/>
      </w:pPr>
      <w:r>
        <w:t>2.2 Definitia formala a exergy hub</w:t>
      </w:r>
    </w:p>
    <w:p>
      <w:pPr>
        <w:ind w:firstLine="0"/>
      </w:pPr>
    </w:p>
    <w:p>
      <w:pPr/>
      <w:r>
        <w:rPr>
          <w:b/>
        </w:rPr>
        <w:t>Exergy HUB (N2) este un ansamblu modular de Exergy Box-uri interconectate printr-o cascada termodinamica pe 4 niveluri de temperatura, orchestrat de un sistem EMS AI cu 8 bucle de feedback ierarhice, care livreaza simultan energie pe 5+ vectori (electric, termic N1-N3, hidrogen, date) cu eficienta exergetica η_ex &gt;=70%, autonomie insulara &gt;=72h si proprietati emergente imposibile la nivelul oricarui Box individual.</w:t>
      </w:r>
    </w:p>
    <w:p>
      <w:pPr/>
      <w:r>
        <w:t>Elementul critic al definitiei este sintagma proprietati emergente imposibile la nivelul oricarui Box individual. Un EB-CHP are η_ex,CHP de 65-75% dar nu poate gestiona cererea termica variabila la 3 niveluri de temperatura simultan. Un EB-TPC (pompa de caldura) are COP 4-5 dar nu are sursa dispatchabila. Un EB-STO are capacitate de stocare dar nu are inteligenta de dispatch. Integrati intr-un HUB cu EMS AI, aceste componente genereaza η_ex &gt;=70% la nivel de ansamblu -- cu 3-8 puncte procentuale mai mult decat suma componentelor individuale. Aceasta este emergenta N2: proprietate a arhitecturii interactiunilor, nu a componentelor.</w:t>
      </w:r>
    </w:p>
    <w:p>
      <w:pPr>
        <w:ind w:firstLine="0"/>
      </w:pPr>
    </w:p>
    <w:p>
      <w:pPr>
        <w:pStyle w:val="SubHeading"/>
        <w:keepNext/>
      </w:pPr>
      <w:r>
        <w:t>2.3 Comparatia cu infrastructura conventionala echivalenta</w:t>
      </w:r>
    </w:p>
    <w:p>
      <w:pPr>
        <w:ind w:firstLine="0"/>
      </w:pPr>
    </w:p>
    <w:p>
      <w:pPr/>
      <w:r>
        <w:t>Comparația infrastructurii convenționale cu Exergy HUB este ilustrată în Tabelul 2.</w:t>
      </w:r>
    </w:p>
    <w:p>
      <w:pPr>
        <w:ind w:firstLine="0"/>
      </w:pPr>
    </w:p>
    <w:p>
      <w:pPr>
        <w:pStyle w:val="TableCaption"/>
      </w:pPr>
      <w:r>
        <w:t>Tabel 2. Comparația infrastructurii convenționale cu Exergy HUB</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Criteriu de Comparatie</w:t>
            </w:r>
          </w:p>
        </w:tc>
        <w:tc>
          <w:tcPr>
            <w:tcW w:type="dxa" w:w="2570"/>
          </w:tcPr>
          <w:p>
            <w:pPr>
              <w:spacing w:before="0" w:after="0"/>
              <w:ind w:firstLine="0"/>
              <w:jc w:val="left"/>
            </w:pPr>
            <w:r>
              <w:rPr>
                <w:rFonts w:ascii="Times New Roman" w:hAnsi="Times New Roman"/>
                <w:b/>
                <w:sz w:val="22"/>
              </w:rPr>
              <w:t>Infrastructura Conventionala Echivalenta</w:t>
            </w:r>
          </w:p>
        </w:tc>
        <w:tc>
          <w:tcPr>
            <w:tcW w:type="dxa" w:w="2570"/>
          </w:tcPr>
          <w:p>
            <w:pPr>
              <w:spacing w:before="0" w:after="0"/>
              <w:ind w:firstLine="0"/>
              <w:jc w:val="left"/>
            </w:pPr>
            <w:r>
              <w:rPr>
                <w:rFonts w:ascii="Times New Roman" w:hAnsi="Times New Roman"/>
                <w:b/>
                <w:sz w:val="22"/>
              </w:rPr>
              <w:t>Exergy HUB</w:t>
            </w:r>
          </w:p>
        </w:tc>
      </w:tr>
      <w:tr>
        <w:tc>
          <w:tcPr>
            <w:tcW w:type="dxa" w:w="2570"/>
          </w:tcPr>
          <w:p>
            <w:pPr>
              <w:spacing w:before="0" w:after="0"/>
              <w:ind w:firstLine="0"/>
              <w:jc w:val="left"/>
            </w:pPr>
            <w:r>
              <w:rPr>
                <w:rFonts w:ascii="Times New Roman" w:hAnsi="Times New Roman"/>
                <w:sz w:val="22"/>
              </w:rPr>
              <w:t>Eficienta exergetica globala</w:t>
            </w:r>
          </w:p>
        </w:tc>
        <w:tc>
          <w:tcPr>
            <w:tcW w:type="dxa" w:w="2570"/>
          </w:tcPr>
          <w:p>
            <w:pPr>
              <w:spacing w:before="0" w:after="0"/>
              <w:ind w:firstLine="0"/>
              <w:jc w:val="left"/>
            </w:pPr>
            <w:r>
              <w:rPr>
                <w:rFonts w:ascii="Times New Roman" w:hAnsi="Times New Roman"/>
                <w:sz w:val="22"/>
              </w:rPr>
              <w:t>15-35% (surse izolate, fara cascada, optimizare energetica)</w:t>
            </w:r>
          </w:p>
        </w:tc>
        <w:tc>
          <w:tcPr>
            <w:tcW w:type="dxa" w:w="2570"/>
          </w:tcPr>
          <w:p>
            <w:pPr>
              <w:spacing w:before="0" w:after="0"/>
              <w:ind w:firstLine="0"/>
              <w:jc w:val="left"/>
            </w:pPr>
            <w:r>
              <w:rPr>
                <w:rFonts w:ascii="Times New Roman" w:hAnsi="Times New Roman"/>
                <w:sz w:val="22"/>
              </w:rPr>
              <w:t>&gt;=70% (cascada inter-Box pe 4 niveluri + Quality Matching AI)</w:t>
            </w:r>
          </w:p>
        </w:tc>
      </w:tr>
      <w:tr>
        <w:tc>
          <w:tcPr>
            <w:tcW w:type="dxa" w:w="2570"/>
          </w:tcPr>
          <w:p>
            <w:pPr>
              <w:spacing w:before="0" w:after="0"/>
              <w:ind w:firstLine="0"/>
              <w:jc w:val="left"/>
            </w:pPr>
            <w:r>
              <w:rPr>
                <w:rFonts w:ascii="Times New Roman" w:hAnsi="Times New Roman"/>
                <w:sz w:val="22"/>
              </w:rPr>
              <w:t>Redundanta si eliminare SPOF</w:t>
            </w:r>
          </w:p>
        </w:tc>
        <w:tc>
          <w:tcPr>
            <w:tcW w:type="dxa" w:w="2570"/>
          </w:tcPr>
          <w:p>
            <w:pPr>
              <w:spacing w:before="0" w:after="0"/>
              <w:ind w:firstLine="0"/>
              <w:jc w:val="left"/>
            </w:pPr>
            <w:r>
              <w:rPr>
                <w:rFonts w:ascii="Times New Roman" w:hAnsi="Times New Roman"/>
                <w:sz w:val="22"/>
              </w:rPr>
              <w:t>SPOF structural (centrala unica = punct unic de defectiune)</w:t>
            </w:r>
          </w:p>
        </w:tc>
        <w:tc>
          <w:tcPr>
            <w:tcW w:type="dxa" w:w="2570"/>
          </w:tcPr>
          <w:p>
            <w:pPr>
              <w:spacing w:before="0" w:after="0"/>
              <w:ind w:firstLine="0"/>
              <w:jc w:val="left"/>
            </w:pPr>
            <w:r>
              <w:rPr>
                <w:rFonts w:ascii="Times New Roman" w:hAnsi="Times New Roman"/>
                <w:sz w:val="22"/>
              </w:rPr>
              <w:t>Redundanta multipla: 3+ surse, island mode &gt;=72h, RM &gt;=20%</w:t>
            </w:r>
          </w:p>
        </w:tc>
      </w:tr>
      <w:tr>
        <w:tc>
          <w:tcPr>
            <w:tcW w:type="dxa" w:w="2570"/>
          </w:tcPr>
          <w:p>
            <w:pPr>
              <w:spacing w:before="0" w:after="0"/>
              <w:ind w:firstLine="0"/>
              <w:jc w:val="left"/>
            </w:pPr>
            <w:r>
              <w:rPr>
                <w:rFonts w:ascii="Times New Roman" w:hAnsi="Times New Roman"/>
                <w:sz w:val="22"/>
              </w:rPr>
              <w:t>Vectori energetici simultani</w:t>
            </w:r>
          </w:p>
        </w:tc>
        <w:tc>
          <w:tcPr>
            <w:tcW w:type="dxa" w:w="2570"/>
          </w:tcPr>
          <w:p>
            <w:pPr>
              <w:spacing w:before="0" w:after="0"/>
              <w:ind w:firstLine="0"/>
              <w:jc w:val="left"/>
            </w:pPr>
            <w:r>
              <w:rPr>
                <w:rFonts w:ascii="Times New Roman" w:hAnsi="Times New Roman"/>
                <w:sz w:val="22"/>
              </w:rPr>
              <w:t>1-2 (termic + electric separat, fara optimizare multi-vector)</w:t>
            </w:r>
          </w:p>
        </w:tc>
        <w:tc>
          <w:tcPr>
            <w:tcW w:type="dxa" w:w="2570"/>
          </w:tcPr>
          <w:p>
            <w:pPr>
              <w:spacing w:before="0" w:after="0"/>
              <w:ind w:firstLine="0"/>
              <w:jc w:val="left"/>
            </w:pPr>
            <w:r>
              <w:rPr>
                <w:rFonts w:ascii="Times New Roman" w:hAnsi="Times New Roman"/>
                <w:sz w:val="22"/>
              </w:rPr>
              <w:t>5+ simultan: electric, termic N1/N2/N3, H2, date</w:t>
            </w:r>
          </w:p>
        </w:tc>
      </w:tr>
      <w:tr>
        <w:tc>
          <w:tcPr>
            <w:tcW w:type="dxa" w:w="2570"/>
          </w:tcPr>
          <w:p>
            <w:pPr>
              <w:spacing w:before="0" w:after="0"/>
              <w:ind w:firstLine="0"/>
              <w:jc w:val="left"/>
            </w:pPr>
            <w:r>
              <w:rPr>
                <w:rFonts w:ascii="Times New Roman" w:hAnsi="Times New Roman"/>
                <w:sz w:val="22"/>
              </w:rPr>
              <w:t>Timp de instalare</w:t>
            </w:r>
          </w:p>
        </w:tc>
        <w:tc>
          <w:tcPr>
            <w:tcW w:type="dxa" w:w="2570"/>
          </w:tcPr>
          <w:p>
            <w:pPr>
              <w:spacing w:before="0" w:after="0"/>
              <w:ind w:firstLine="0"/>
              <w:jc w:val="left"/>
            </w:pPr>
            <w:r>
              <w:rPr>
                <w:rFonts w:ascii="Times New Roman" w:hAnsi="Times New Roman"/>
                <w:sz w:val="22"/>
              </w:rPr>
              <w:t>6-24 luni (constructie dedicata, engineering custom)</w:t>
            </w:r>
          </w:p>
        </w:tc>
        <w:tc>
          <w:tcPr>
            <w:tcW w:type="dxa" w:w="2570"/>
          </w:tcPr>
          <w:p>
            <w:pPr>
              <w:spacing w:before="0" w:after="0"/>
              <w:ind w:firstLine="0"/>
              <w:jc w:val="left"/>
            </w:pPr>
            <w:r>
              <w:rPr>
                <w:rFonts w:ascii="Times New Roman" w:hAnsi="Times New Roman"/>
                <w:sz w:val="22"/>
              </w:rPr>
              <w:t>5-15 zile (containerizare ISO 668, plug-and-play, FAT in fabrica)</w:t>
            </w:r>
          </w:p>
        </w:tc>
      </w:tr>
      <w:tr>
        <w:tc>
          <w:tcPr>
            <w:tcW w:type="dxa" w:w="2570"/>
          </w:tcPr>
          <w:p>
            <w:pPr>
              <w:spacing w:before="0" w:after="0"/>
              <w:ind w:firstLine="0"/>
              <w:jc w:val="left"/>
            </w:pPr>
            <w:r>
              <w:rPr>
                <w:rFonts w:ascii="Times New Roman" w:hAnsi="Times New Roman"/>
                <w:sz w:val="22"/>
              </w:rPr>
              <w:t>Scalabilitate si upgrade</w:t>
            </w:r>
          </w:p>
        </w:tc>
        <w:tc>
          <w:tcPr>
            <w:tcW w:type="dxa" w:w="2570"/>
          </w:tcPr>
          <w:p>
            <w:pPr>
              <w:spacing w:before="0" w:after="0"/>
              <w:ind w:firstLine="0"/>
              <w:jc w:val="left"/>
            </w:pPr>
            <w:r>
              <w:rPr>
                <w:rFonts w:ascii="Times New Roman" w:hAnsi="Times New Roman"/>
                <w:sz w:val="22"/>
              </w:rPr>
              <w:t>Limitata -- retehnologizare totala pentru upgrade</w:t>
            </w:r>
          </w:p>
        </w:tc>
        <w:tc>
          <w:tcPr>
            <w:tcW w:type="dxa" w:w="2570"/>
          </w:tcPr>
          <w:p>
            <w:pPr>
              <w:spacing w:before="0" w:after="0"/>
              <w:ind w:firstLine="0"/>
              <w:jc w:val="left"/>
            </w:pPr>
            <w:r>
              <w:rPr>
                <w:rFonts w:ascii="Times New Roman" w:hAnsi="Times New Roman"/>
                <w:sz w:val="22"/>
              </w:rPr>
              <w:t>Modulara -- adauga/inlocuieste Box fara oprirea sistemului</w:t>
            </w:r>
          </w:p>
        </w:tc>
      </w:tr>
      <w:tr>
        <w:tc>
          <w:tcPr>
            <w:tcW w:type="dxa" w:w="2570"/>
          </w:tcPr>
          <w:p>
            <w:pPr>
              <w:spacing w:before="0" w:after="0"/>
              <w:ind w:firstLine="0"/>
              <w:jc w:val="left"/>
            </w:pPr>
            <w:r>
              <w:rPr>
                <w:rFonts w:ascii="Times New Roman" w:hAnsi="Times New Roman"/>
                <w:sz w:val="22"/>
              </w:rPr>
              <w:t>Mentenanta</w:t>
            </w:r>
          </w:p>
        </w:tc>
        <w:tc>
          <w:tcPr>
            <w:tcW w:type="dxa" w:w="2570"/>
          </w:tcPr>
          <w:p>
            <w:pPr>
              <w:spacing w:before="0" w:after="0"/>
              <w:ind w:firstLine="0"/>
              <w:jc w:val="left"/>
            </w:pPr>
            <w:r>
              <w:rPr>
                <w:rFonts w:ascii="Times New Roman" w:hAnsi="Times New Roman"/>
                <w:sz w:val="22"/>
              </w:rPr>
              <w:t>Reactiva -- dupa avarie, timp de reparatie nedefinit</w:t>
            </w:r>
          </w:p>
        </w:tc>
        <w:tc>
          <w:tcPr>
            <w:tcW w:type="dxa" w:w="2570"/>
          </w:tcPr>
          <w:p>
            <w:pPr>
              <w:spacing w:before="0" w:after="0"/>
              <w:ind w:firstLine="0"/>
              <w:jc w:val="left"/>
            </w:pPr>
            <w:r>
              <w:rPr>
                <w:rFonts w:ascii="Times New Roman" w:hAnsi="Times New Roman"/>
                <w:sz w:val="22"/>
              </w:rPr>
              <w:t>Predictiva AI: MTBF &gt;=8.000h, MTTR &lt;=4h, disponibilitate &gt;=98%</w:t>
            </w:r>
          </w:p>
        </w:tc>
      </w:tr>
      <w:tr>
        <w:tc>
          <w:tcPr>
            <w:tcW w:type="dxa" w:w="2570"/>
          </w:tcPr>
          <w:p>
            <w:pPr>
              <w:spacing w:before="0" w:after="0"/>
              <w:ind w:firstLine="0"/>
              <w:jc w:val="left"/>
            </w:pPr>
            <w:r>
              <w:rPr>
                <w:rFonts w:ascii="Times New Roman" w:hAnsi="Times New Roman"/>
                <w:sz w:val="22"/>
              </w:rPr>
              <w:t>Circularitate energetica</w:t>
            </w:r>
          </w:p>
        </w:tc>
        <w:tc>
          <w:tcPr>
            <w:tcW w:type="dxa" w:w="2570"/>
          </w:tcPr>
          <w:p>
            <w:pPr>
              <w:spacing w:before="0" w:after="0"/>
              <w:ind w:firstLine="0"/>
              <w:jc w:val="left"/>
            </w:pPr>
            <w:r>
              <w:rPr>
                <w:rFonts w:ascii="Times New Roman" w:hAnsi="Times New Roman"/>
                <w:sz w:val="22"/>
              </w:rPr>
              <w:t>Absenta -- caldura reziduala pierduta in mediu</w:t>
            </w:r>
          </w:p>
        </w:tc>
        <w:tc>
          <w:tcPr>
            <w:tcW w:type="dxa" w:w="2570"/>
          </w:tcPr>
          <w:p>
            <w:pPr>
              <w:spacing w:before="0" w:after="0"/>
              <w:ind w:firstLine="0"/>
              <w:jc w:val="left"/>
            </w:pPr>
            <w:r>
              <w:rPr>
                <w:rFonts w:ascii="Times New Roman" w:hAnsi="Times New Roman"/>
                <w:sz w:val="22"/>
              </w:rPr>
              <w:t>Integrala -- cascada completa, biochar ReCarbon, Waste-to-X</w:t>
            </w:r>
          </w:p>
        </w:tc>
      </w:tr>
      <w:tr>
        <w:tc>
          <w:tcPr>
            <w:tcW w:type="dxa" w:w="2570"/>
          </w:tcPr>
          <w:p>
            <w:pPr>
              <w:spacing w:before="0" w:after="0"/>
              <w:ind w:firstLine="0"/>
              <w:jc w:val="left"/>
            </w:pPr>
            <w:r>
              <w:rPr>
                <w:rFonts w:ascii="Times New Roman" w:hAnsi="Times New Roman"/>
                <w:sz w:val="22"/>
              </w:rPr>
              <w:t>Monitorizare emisii CO2</w:t>
            </w:r>
          </w:p>
        </w:tc>
        <w:tc>
          <w:tcPr>
            <w:tcW w:type="dxa" w:w="2570"/>
          </w:tcPr>
          <w:p>
            <w:pPr>
              <w:spacing w:before="0" w:after="0"/>
              <w:ind w:firstLine="0"/>
              <w:jc w:val="left"/>
            </w:pPr>
            <w:r>
              <w:rPr>
                <w:rFonts w:ascii="Times New Roman" w:hAnsi="Times New Roman"/>
                <w:sz w:val="22"/>
              </w:rPr>
              <w:t>Partiala sau absenta</w:t>
            </w:r>
          </w:p>
        </w:tc>
        <w:tc>
          <w:tcPr>
            <w:tcW w:type="dxa" w:w="2570"/>
          </w:tcPr>
          <w:p>
            <w:pPr>
              <w:spacing w:before="0" w:after="0"/>
              <w:ind w:firstLine="0"/>
              <w:jc w:val="left"/>
            </w:pPr>
            <w:r>
              <w:rPr>
                <w:rFonts w:ascii="Times New Roman" w:hAnsi="Times New Roman"/>
                <w:sz w:val="22"/>
              </w:rPr>
              <w:t>Bilant complet certificat EBC v10.5, BCR credits</w:t>
            </w:r>
          </w:p>
        </w:tc>
      </w:tr>
    </w:tbl>
    <w:p>
      <w:pPr>
        <w:ind w:firstLine="0"/>
      </w:pPr>
    </w:p>
    <w:p>
      <w:pPr>
        <w:ind w:firstLine="0"/>
      </w:pPr>
    </w:p>
    <w:p>
      <w:pPr>
        <w:pStyle w:val="ChapterHeading"/>
        <w:keepNext/>
      </w:pPr>
      <w:r>
        <w:t>3. Arhitectura Modulara -- Catalogul Celor 9 Tipologii de Exergy Box</w:t>
      </w:r>
    </w:p>
    <w:p>
      <w:pPr>
        <w:ind w:firstLine="0"/>
      </w:pPr>
    </w:p>
    <w:p>
      <w:pPr/>
      <w:r>
        <w:t>Exergy HUB este realizat din Exergy Box-uri -- sisteme containerizate prefabricate care integreaza module energetice specializate. Fiecare Box este fabricat, asamblat, testat (FAT -- Factory Acceptance Test) si certificat in fabrica, conform standardelor ISO 668 (containere), ISO 1496 (testare structurala), EN 61439 (tablouri electrice) si EN 14511 (pompe de caldura). Modularitatea permite scalabilitate, adaptare la conditiile locale, inlocuire/upgrade individual si mentenanta fara oprirea intregului sistem.</w:t>
      </w:r>
    </w:p>
    <w:p>
      <w:pPr>
        <w:ind w:firstLine="0"/>
      </w:pPr>
    </w:p>
    <w:p>
      <w:pPr>
        <w:pStyle w:val="SubHeading"/>
        <w:keepNext/>
      </w:pPr>
      <w:r>
        <w:t>3.1 Catalogul complet al celor 9 tipologii</w:t>
      </w:r>
    </w:p>
    <w:p>
      <w:pPr>
        <w:ind w:firstLine="0"/>
      </w:pPr>
    </w:p>
    <w:p>
      <w:pPr/>
      <w:r>
        <w:t>Specificațiile tehnice și investițiile pentru box-urile Exergy HUB se regăsesc în Tabelul 3.</w:t>
      </w:r>
    </w:p>
    <w:p>
      <w:pPr>
        <w:ind w:firstLine="0"/>
      </w:pPr>
    </w:p>
    <w:p>
      <w:pPr>
        <w:pStyle w:val="TableCaption"/>
      </w:pPr>
      <w:r>
        <w:t>Tabel 3. Specificațiile tehnice și investițiile pentru box-urile Exergy HUB</w:t>
      </w:r>
    </w:p>
    <w:tbl>
      <w:tblPr>
        <w:tblStyle w:val="TableGrid"/>
        <w:tblW w:type="auto" w:w="0"/>
        <w:jc w:val="center"/>
        <w:tblLook w:firstColumn="1" w:firstRow="1" w:lastColumn="0" w:lastRow="0" w:noHBand="0" w:noVBand="1" w:val="04A0"/>
      </w:tblPr>
      <w:tblGrid>
        <w:gridCol w:w="1285"/>
        <w:gridCol w:w="1285"/>
        <w:gridCol w:w="1285"/>
        <w:gridCol w:w="1285"/>
        <w:gridCol w:w="1285"/>
        <w:gridCol w:w="1285"/>
      </w:tblGrid>
      <w:tr>
        <w:tc>
          <w:tcPr>
            <w:tcW w:type="dxa" w:w="1285"/>
          </w:tcPr>
          <w:p>
            <w:pPr>
              <w:spacing w:before="0" w:after="0"/>
              <w:ind w:firstLine="0"/>
              <w:jc w:val="left"/>
            </w:pPr>
            <w:r>
              <w:rPr>
                <w:rFonts w:ascii="Times New Roman" w:hAnsi="Times New Roman"/>
                <w:b/>
                <w:sz w:val="22"/>
              </w:rPr>
              <w:t>Cod</w:t>
            </w:r>
          </w:p>
        </w:tc>
        <w:tc>
          <w:tcPr>
            <w:tcW w:type="dxa" w:w="1285"/>
          </w:tcPr>
          <w:p>
            <w:pPr>
              <w:spacing w:before="0" w:after="0"/>
              <w:ind w:firstLine="0"/>
              <w:jc w:val="left"/>
            </w:pPr>
            <w:r>
              <w:rPr>
                <w:rFonts w:ascii="Times New Roman" w:hAnsi="Times New Roman"/>
                <w:b/>
                <w:sz w:val="22"/>
              </w:rPr>
              <w:t>Denumire Box</w:t>
            </w:r>
          </w:p>
        </w:tc>
        <w:tc>
          <w:tcPr>
            <w:tcW w:type="dxa" w:w="1285"/>
          </w:tcPr>
          <w:p>
            <w:pPr>
              <w:spacing w:before="0" w:after="0"/>
              <w:ind w:firstLine="0"/>
              <w:jc w:val="left"/>
            </w:pPr>
            <w:r>
              <w:rPr>
                <w:rFonts w:ascii="Times New Roman" w:hAnsi="Times New Roman"/>
                <w:b/>
                <w:sz w:val="22"/>
              </w:rPr>
              <w:t>Module Integrate si Specificatii Tehnice</w:t>
            </w:r>
          </w:p>
        </w:tc>
        <w:tc>
          <w:tcPr>
            <w:tcW w:type="dxa" w:w="1285"/>
          </w:tcPr>
          <w:p>
            <w:pPr>
              <w:spacing w:before="0" w:after="0"/>
              <w:ind w:firstLine="0"/>
              <w:jc w:val="left"/>
            </w:pPr>
            <w:r>
              <w:rPr>
                <w:rFonts w:ascii="Times New Roman" w:hAnsi="Times New Roman"/>
                <w:b/>
                <w:sz w:val="22"/>
              </w:rPr>
              <w:t>Pozitia in Cascada Termodinamica</w:t>
            </w:r>
          </w:p>
        </w:tc>
        <w:tc>
          <w:tcPr>
            <w:tcW w:type="dxa" w:w="1285"/>
          </w:tcPr>
          <w:p>
            <w:pPr>
              <w:spacing w:before="0" w:after="0"/>
              <w:ind w:firstLine="0"/>
              <w:jc w:val="left"/>
            </w:pPr>
            <w:r>
              <w:rPr>
                <w:rFonts w:ascii="Times New Roman" w:hAnsi="Times New Roman"/>
                <w:b/>
                <w:sz w:val="22"/>
              </w:rPr>
              <w:t>Investitie Est.</w:t>
            </w:r>
          </w:p>
        </w:tc>
        <w:tc>
          <w:tcPr>
            <w:tcW w:type="dxa" w:w="1285"/>
          </w:tcPr>
          <w:p>
            <w:pPr>
              <w:spacing w:before="0" w:after="0"/>
              <w:ind w:firstLine="0"/>
              <w:jc w:val="left"/>
            </w:pPr>
            <w:r>
              <w:rPr>
                <w:rFonts w:ascii="Times New Roman" w:hAnsi="Times New Roman"/>
                <w:b/>
                <w:sz w:val="22"/>
              </w:rPr>
              <w:t>Dimensiune</w:t>
            </w:r>
          </w:p>
        </w:tc>
      </w:tr>
      <w:tr>
        <w:tc>
          <w:tcPr>
            <w:tcW w:type="dxa" w:w="1285"/>
          </w:tcPr>
          <w:p>
            <w:pPr>
              <w:spacing w:before="0" w:after="0"/>
              <w:ind w:firstLine="0"/>
              <w:jc w:val="left"/>
            </w:pPr>
            <w:r>
              <w:rPr>
                <w:rFonts w:ascii="Times New Roman" w:hAnsi="Times New Roman"/>
                <w:sz w:val="22"/>
              </w:rPr>
              <w:t>EB-CHP</w:t>
            </w:r>
          </w:p>
        </w:tc>
        <w:tc>
          <w:tcPr>
            <w:tcW w:type="dxa" w:w="1285"/>
          </w:tcPr>
          <w:p>
            <w:pPr>
              <w:spacing w:before="0" w:after="0"/>
              <w:ind w:firstLine="0"/>
              <w:jc w:val="left"/>
            </w:pPr>
            <w:r>
              <w:rPr>
                <w:rFonts w:ascii="Times New Roman" w:hAnsi="Times New Roman"/>
                <w:sz w:val="22"/>
              </w:rPr>
              <w:t>Box Cogenerare SynTech</w:t>
            </w:r>
          </w:p>
        </w:tc>
        <w:tc>
          <w:tcPr>
            <w:tcW w:type="dxa" w:w="1285"/>
          </w:tcPr>
          <w:p>
            <w:pPr>
              <w:spacing w:before="0" w:after="0"/>
              <w:ind w:firstLine="0"/>
              <w:jc w:val="left"/>
            </w:pPr>
            <w:r>
              <w:rPr>
                <w:rFonts w:ascii="Times New Roman" w:hAnsi="Times New Roman"/>
                <w:sz w:val="22"/>
              </w:rPr>
              <w:t>Gazeificare biomasa/SRF; η_CHP 75-85%; 50-500 kWe; 100-800 kWt</w:t>
            </w:r>
          </w:p>
        </w:tc>
        <w:tc>
          <w:tcPr>
            <w:tcW w:type="dxa" w:w="1285"/>
          </w:tcPr>
          <w:p>
            <w:pPr>
              <w:spacing w:before="0" w:after="0"/>
              <w:ind w:firstLine="0"/>
              <w:jc w:val="left"/>
            </w:pPr>
            <w:r>
              <w:rPr>
                <w:rFonts w:ascii="Times New Roman" w:hAnsi="Times New Roman"/>
                <w:sz w:val="22"/>
              </w:rPr>
              <w:t>N1 (inalta-T: 80-90 grade C) -- sursa primara termica + electricitate export</w:t>
            </w:r>
          </w:p>
        </w:tc>
        <w:tc>
          <w:tcPr>
            <w:tcW w:type="dxa" w:w="1285"/>
          </w:tcPr>
          <w:p>
            <w:pPr>
              <w:spacing w:before="0" w:after="0"/>
              <w:ind w:firstLine="0"/>
              <w:jc w:val="left"/>
            </w:pPr>
            <w:r>
              <w:rPr>
                <w:rFonts w:ascii="Times New Roman" w:hAnsi="Times New Roman"/>
                <w:sz w:val="22"/>
              </w:rPr>
              <w:t>50-300k EUR</w:t>
            </w:r>
          </w:p>
        </w:tc>
        <w:tc>
          <w:tcPr>
            <w:tcW w:type="dxa" w:w="1285"/>
          </w:tcPr>
          <w:p>
            <w:pPr>
              <w:spacing w:before="0" w:after="0"/>
              <w:ind w:firstLine="0"/>
              <w:jc w:val="left"/>
            </w:pPr>
            <w:r>
              <w:rPr>
                <w:rFonts w:ascii="Times New Roman" w:hAnsi="Times New Roman"/>
                <w:sz w:val="22"/>
              </w:rPr>
              <w:t>20'/40' ISO</w:t>
            </w:r>
          </w:p>
        </w:tc>
      </w:tr>
      <w:tr>
        <w:tc>
          <w:tcPr>
            <w:tcW w:type="dxa" w:w="1285"/>
          </w:tcPr>
          <w:p>
            <w:pPr>
              <w:spacing w:before="0" w:after="0"/>
              <w:ind w:firstLine="0"/>
              <w:jc w:val="left"/>
            </w:pPr>
            <w:r>
              <w:rPr>
                <w:rFonts w:ascii="Times New Roman" w:hAnsi="Times New Roman"/>
                <w:sz w:val="22"/>
              </w:rPr>
              <w:t>EB-TPC</w:t>
            </w:r>
          </w:p>
        </w:tc>
        <w:tc>
          <w:tcPr>
            <w:tcW w:type="dxa" w:w="1285"/>
          </w:tcPr>
          <w:p>
            <w:pPr>
              <w:spacing w:before="0" w:after="0"/>
              <w:ind w:firstLine="0"/>
              <w:jc w:val="left"/>
            </w:pPr>
            <w:r>
              <w:rPr>
                <w:rFonts w:ascii="Times New Roman" w:hAnsi="Times New Roman"/>
                <w:sz w:val="22"/>
              </w:rPr>
              <w:t>Box Termic Pompa Caldura</w:t>
            </w:r>
          </w:p>
        </w:tc>
        <w:tc>
          <w:tcPr>
            <w:tcW w:type="dxa" w:w="1285"/>
          </w:tcPr>
          <w:p>
            <w:pPr>
              <w:spacing w:before="0" w:after="0"/>
              <w:ind w:firstLine="0"/>
              <w:jc w:val="left"/>
            </w:pPr>
            <w:r>
              <w:rPr>
                <w:rFonts w:ascii="Times New Roman" w:hAnsi="Times New Roman"/>
                <w:sz w:val="22"/>
              </w:rPr>
              <w:t>1-4 unitati HP; COP &gt;=4; R290/CO2; 20-400 kWt total</w:t>
            </w:r>
          </w:p>
        </w:tc>
        <w:tc>
          <w:tcPr>
            <w:tcW w:type="dxa" w:w="1285"/>
          </w:tcPr>
          <w:p>
            <w:pPr>
              <w:spacing w:before="0" w:after="0"/>
              <w:ind w:firstLine="0"/>
              <w:jc w:val="left"/>
            </w:pPr>
            <w:r>
              <w:rPr>
                <w:rFonts w:ascii="Times New Roman" w:hAnsi="Times New Roman"/>
                <w:sz w:val="22"/>
              </w:rPr>
              <w:t>N2-N3 (medie/joasa-T) -- valorificare caldura reziduala N1; sursa secundara</w:t>
            </w:r>
          </w:p>
        </w:tc>
        <w:tc>
          <w:tcPr>
            <w:tcW w:type="dxa" w:w="1285"/>
          </w:tcPr>
          <w:p>
            <w:pPr>
              <w:spacing w:before="0" w:after="0"/>
              <w:ind w:firstLine="0"/>
              <w:jc w:val="left"/>
            </w:pPr>
            <w:r>
              <w:rPr>
                <w:rFonts w:ascii="Times New Roman" w:hAnsi="Times New Roman"/>
                <w:sz w:val="22"/>
              </w:rPr>
              <w:t>30-100k EUR</w:t>
            </w:r>
          </w:p>
        </w:tc>
        <w:tc>
          <w:tcPr>
            <w:tcW w:type="dxa" w:w="1285"/>
          </w:tcPr>
          <w:p>
            <w:pPr>
              <w:spacing w:before="0" w:after="0"/>
              <w:ind w:firstLine="0"/>
              <w:jc w:val="left"/>
            </w:pPr>
            <w:r>
              <w:rPr>
                <w:rFonts w:ascii="Times New Roman" w:hAnsi="Times New Roman"/>
                <w:sz w:val="22"/>
              </w:rPr>
              <w:t>20' ISO/cadru</w:t>
            </w:r>
          </w:p>
        </w:tc>
      </w:tr>
      <w:tr>
        <w:tc>
          <w:tcPr>
            <w:tcW w:type="dxa" w:w="1285"/>
          </w:tcPr>
          <w:p>
            <w:pPr>
              <w:spacing w:before="0" w:after="0"/>
              <w:ind w:firstLine="0"/>
              <w:jc w:val="left"/>
            </w:pPr>
            <w:r>
              <w:rPr>
                <w:rFonts w:ascii="Times New Roman" w:hAnsi="Times New Roman"/>
                <w:sz w:val="22"/>
              </w:rPr>
              <w:t>EB-SOL</w:t>
            </w:r>
          </w:p>
        </w:tc>
        <w:tc>
          <w:tcPr>
            <w:tcW w:type="dxa" w:w="1285"/>
          </w:tcPr>
          <w:p>
            <w:pPr>
              <w:spacing w:before="0" w:after="0"/>
              <w:ind w:firstLine="0"/>
              <w:jc w:val="left"/>
            </w:pPr>
            <w:r>
              <w:rPr>
                <w:rFonts w:ascii="Times New Roman" w:hAnsi="Times New Roman"/>
                <w:sz w:val="22"/>
              </w:rPr>
              <w:t>Box Solar Hibrid PVT</w:t>
            </w:r>
          </w:p>
        </w:tc>
        <w:tc>
          <w:tcPr>
            <w:tcW w:type="dxa" w:w="1285"/>
          </w:tcPr>
          <w:p>
            <w:pPr>
              <w:spacing w:before="0" w:after="0"/>
              <w:ind w:firstLine="0"/>
              <w:jc w:val="left"/>
            </w:pPr>
            <w:r>
              <w:rPr>
                <w:rFonts w:ascii="Times New Roman" w:hAnsi="Times New Roman"/>
                <w:sz w:val="22"/>
              </w:rPr>
              <w:t>Panouri PVT exterior; η_combinat 60-75%; productie electrica+termica</w:t>
            </w:r>
          </w:p>
        </w:tc>
        <w:tc>
          <w:tcPr>
            <w:tcW w:type="dxa" w:w="1285"/>
          </w:tcPr>
          <w:p>
            <w:pPr>
              <w:spacing w:before="0" w:after="0"/>
              <w:ind w:firstLine="0"/>
              <w:jc w:val="left"/>
            </w:pPr>
            <w:r>
              <w:rPr>
                <w:rFonts w:ascii="Times New Roman" w:hAnsi="Times New Roman"/>
                <w:sz w:val="22"/>
              </w:rPr>
              <w:t>N2 (50-65 grade C) -- productie sezoniera; reducere consum primar N1</w:t>
            </w:r>
          </w:p>
        </w:tc>
        <w:tc>
          <w:tcPr>
            <w:tcW w:type="dxa" w:w="1285"/>
          </w:tcPr>
          <w:p>
            <w:pPr>
              <w:spacing w:before="0" w:after="0"/>
              <w:ind w:firstLine="0"/>
              <w:jc w:val="left"/>
            </w:pPr>
            <w:r>
              <w:rPr>
                <w:rFonts w:ascii="Times New Roman" w:hAnsi="Times New Roman"/>
                <w:sz w:val="22"/>
              </w:rPr>
              <w:t>40-120k EUR</w:t>
            </w:r>
          </w:p>
        </w:tc>
        <w:tc>
          <w:tcPr>
            <w:tcW w:type="dxa" w:w="1285"/>
          </w:tcPr>
          <w:p>
            <w:pPr>
              <w:spacing w:before="0" w:after="0"/>
              <w:ind w:firstLine="0"/>
              <w:jc w:val="left"/>
            </w:pPr>
            <w:r>
              <w:rPr>
                <w:rFonts w:ascii="Times New Roman" w:hAnsi="Times New Roman"/>
                <w:sz w:val="22"/>
              </w:rPr>
              <w:t>Cadru structural</w:t>
            </w:r>
          </w:p>
        </w:tc>
      </w:tr>
      <w:tr>
        <w:tc>
          <w:tcPr>
            <w:tcW w:type="dxa" w:w="1285"/>
          </w:tcPr>
          <w:p>
            <w:pPr>
              <w:spacing w:before="0" w:after="0"/>
              <w:ind w:firstLine="0"/>
              <w:jc w:val="left"/>
            </w:pPr>
            <w:r>
              <w:rPr>
                <w:rFonts w:ascii="Times New Roman" w:hAnsi="Times New Roman"/>
                <w:sz w:val="22"/>
              </w:rPr>
              <w:t>EB-H2</w:t>
            </w:r>
          </w:p>
        </w:tc>
        <w:tc>
          <w:tcPr>
            <w:tcW w:type="dxa" w:w="1285"/>
          </w:tcPr>
          <w:p>
            <w:pPr>
              <w:spacing w:before="0" w:after="0"/>
              <w:ind w:firstLine="0"/>
              <w:jc w:val="left"/>
            </w:pPr>
            <w:r>
              <w:rPr>
                <w:rFonts w:ascii="Times New Roman" w:hAnsi="Times New Roman"/>
                <w:sz w:val="22"/>
              </w:rPr>
              <w:t>Box Hidrogen PEM</w:t>
            </w:r>
          </w:p>
        </w:tc>
        <w:tc>
          <w:tcPr>
            <w:tcW w:type="dxa" w:w="1285"/>
          </w:tcPr>
          <w:p>
            <w:pPr>
              <w:spacing w:before="0" w:after="0"/>
              <w:ind w:firstLine="0"/>
              <w:jc w:val="left"/>
            </w:pPr>
            <w:r>
              <w:rPr>
                <w:rFonts w:ascii="Times New Roman" w:hAnsi="Times New Roman"/>
                <w:sz w:val="22"/>
              </w:rPr>
              <w:t>Electrolizoar PEM + stocare + pile combustibil; reversibil</w:t>
            </w:r>
          </w:p>
        </w:tc>
        <w:tc>
          <w:tcPr>
            <w:tcW w:type="dxa" w:w="1285"/>
          </w:tcPr>
          <w:p>
            <w:pPr>
              <w:spacing w:before="0" w:after="0"/>
              <w:ind w:firstLine="0"/>
              <w:jc w:val="left"/>
            </w:pPr>
            <w:r>
              <w:rPr>
                <w:rFonts w:ascii="Times New Roman" w:hAnsi="Times New Roman"/>
                <w:sz w:val="22"/>
              </w:rPr>
              <w:t>N1 rezerva (stocare sezoniera inalta-T echivalent); backup 24/7</w:t>
            </w:r>
          </w:p>
        </w:tc>
        <w:tc>
          <w:tcPr>
            <w:tcW w:type="dxa" w:w="1285"/>
          </w:tcPr>
          <w:p>
            <w:pPr>
              <w:spacing w:before="0" w:after="0"/>
              <w:ind w:firstLine="0"/>
              <w:jc w:val="left"/>
            </w:pPr>
            <w:r>
              <w:rPr>
                <w:rFonts w:ascii="Times New Roman" w:hAnsi="Times New Roman"/>
                <w:sz w:val="22"/>
              </w:rPr>
              <w:t>80-200k EUR</w:t>
            </w:r>
          </w:p>
        </w:tc>
        <w:tc>
          <w:tcPr>
            <w:tcW w:type="dxa" w:w="1285"/>
          </w:tcPr>
          <w:p>
            <w:pPr>
              <w:spacing w:before="0" w:after="0"/>
              <w:ind w:firstLine="0"/>
              <w:jc w:val="left"/>
            </w:pPr>
            <w:r>
              <w:rPr>
                <w:rFonts w:ascii="Times New Roman" w:hAnsi="Times New Roman"/>
                <w:sz w:val="22"/>
              </w:rPr>
              <w:t>20' ATEX</w:t>
            </w:r>
          </w:p>
        </w:tc>
      </w:tr>
      <w:tr>
        <w:tc>
          <w:tcPr>
            <w:tcW w:type="dxa" w:w="1285"/>
          </w:tcPr>
          <w:p>
            <w:pPr>
              <w:spacing w:before="0" w:after="0"/>
              <w:ind w:firstLine="0"/>
              <w:jc w:val="left"/>
            </w:pPr>
            <w:r>
              <w:rPr>
                <w:rFonts w:ascii="Times New Roman" w:hAnsi="Times New Roman"/>
                <w:sz w:val="22"/>
              </w:rPr>
              <w:t>EB-STO</w:t>
            </w:r>
          </w:p>
        </w:tc>
        <w:tc>
          <w:tcPr>
            <w:tcW w:type="dxa" w:w="1285"/>
          </w:tcPr>
          <w:p>
            <w:pPr>
              <w:spacing w:before="0" w:after="0"/>
              <w:ind w:firstLine="0"/>
              <w:jc w:val="left"/>
            </w:pPr>
            <w:r>
              <w:rPr>
                <w:rFonts w:ascii="Times New Roman" w:hAnsi="Times New Roman"/>
                <w:sz w:val="22"/>
              </w:rPr>
              <w:t>Box Stocare Multi-tip</w:t>
            </w:r>
          </w:p>
        </w:tc>
        <w:tc>
          <w:tcPr>
            <w:tcW w:type="dxa" w:w="1285"/>
          </w:tcPr>
          <w:p>
            <w:pPr>
              <w:spacing w:before="0" w:after="0"/>
              <w:ind w:firstLine="0"/>
              <w:jc w:val="left"/>
            </w:pPr>
            <w:r>
              <w:rPr>
                <w:rFonts w:ascii="Times New Roman" w:hAnsi="Times New Roman"/>
                <w:sz w:val="22"/>
              </w:rPr>
              <w:t>Baterii LFP/flux vanadiu (20.000+ cicluri) + PCM termic + BTES</w:t>
            </w:r>
          </w:p>
        </w:tc>
        <w:tc>
          <w:tcPr>
            <w:tcW w:type="dxa" w:w="1285"/>
          </w:tcPr>
          <w:p>
            <w:pPr>
              <w:spacing w:before="0" w:after="0"/>
              <w:ind w:firstLine="0"/>
              <w:jc w:val="left"/>
            </w:pPr>
            <w:r>
              <w:rPr>
                <w:rFonts w:ascii="Times New Roman" w:hAnsi="Times New Roman"/>
                <w:sz w:val="22"/>
              </w:rPr>
              <w:t>Toate nivelurile N1-N3: tampon temporal; asigura autonomie &gt;=72h</w:t>
            </w:r>
          </w:p>
        </w:tc>
        <w:tc>
          <w:tcPr>
            <w:tcW w:type="dxa" w:w="1285"/>
          </w:tcPr>
          <w:p>
            <w:pPr>
              <w:spacing w:before="0" w:after="0"/>
              <w:ind w:firstLine="0"/>
              <w:jc w:val="left"/>
            </w:pPr>
            <w:r>
              <w:rPr>
                <w:rFonts w:ascii="Times New Roman" w:hAnsi="Times New Roman"/>
                <w:sz w:val="22"/>
              </w:rPr>
              <w:t>40-150k EUR</w:t>
            </w:r>
          </w:p>
        </w:tc>
        <w:tc>
          <w:tcPr>
            <w:tcW w:type="dxa" w:w="1285"/>
          </w:tcPr>
          <w:p>
            <w:pPr>
              <w:spacing w:before="0" w:after="0"/>
              <w:ind w:firstLine="0"/>
              <w:jc w:val="left"/>
            </w:pPr>
            <w:r>
              <w:rPr>
                <w:rFonts w:ascii="Times New Roman" w:hAnsi="Times New Roman"/>
                <w:sz w:val="22"/>
              </w:rPr>
              <w:t>20'/40' ISO</w:t>
            </w:r>
          </w:p>
        </w:tc>
      </w:tr>
      <w:tr>
        <w:tc>
          <w:tcPr>
            <w:tcW w:type="dxa" w:w="1285"/>
          </w:tcPr>
          <w:p>
            <w:pPr>
              <w:spacing w:before="0" w:after="0"/>
              <w:ind w:firstLine="0"/>
              <w:jc w:val="left"/>
            </w:pPr>
            <w:r>
              <w:rPr>
                <w:rFonts w:ascii="Times New Roman" w:hAnsi="Times New Roman"/>
                <w:sz w:val="22"/>
              </w:rPr>
              <w:t>EB-EVC</w:t>
            </w:r>
          </w:p>
        </w:tc>
        <w:tc>
          <w:tcPr>
            <w:tcW w:type="dxa" w:w="1285"/>
          </w:tcPr>
          <w:p>
            <w:pPr>
              <w:spacing w:before="0" w:after="0"/>
              <w:ind w:firstLine="0"/>
              <w:jc w:val="left"/>
            </w:pPr>
            <w:r>
              <w:rPr>
                <w:rFonts w:ascii="Times New Roman" w:hAnsi="Times New Roman"/>
                <w:sz w:val="22"/>
              </w:rPr>
              <w:t>Box Mobilitate V2G</w:t>
            </w:r>
          </w:p>
        </w:tc>
        <w:tc>
          <w:tcPr>
            <w:tcW w:type="dxa" w:w="1285"/>
          </w:tcPr>
          <w:p>
            <w:pPr>
              <w:spacing w:before="0" w:after="0"/>
              <w:ind w:firstLine="0"/>
              <w:jc w:val="left"/>
            </w:pPr>
            <w:r>
              <w:rPr>
                <w:rFonts w:ascii="Times New Roman" w:hAnsi="Times New Roman"/>
                <w:sz w:val="22"/>
              </w:rPr>
              <w:t>2-10 puncte incarcare V2G bidirectional ISO 15118</w:t>
            </w:r>
          </w:p>
        </w:tc>
        <w:tc>
          <w:tcPr>
            <w:tcW w:type="dxa" w:w="1285"/>
          </w:tcPr>
          <w:p>
            <w:pPr>
              <w:spacing w:before="0" w:after="0"/>
              <w:ind w:firstLine="0"/>
              <w:jc w:val="left"/>
            </w:pPr>
            <w:r>
              <w:rPr>
                <w:rFonts w:ascii="Times New Roman" w:hAnsi="Times New Roman"/>
                <w:sz w:val="22"/>
              </w:rPr>
              <w:t>N/A flux termic; V2G adauga 50-200 kWe stocare mobila dinamica la HUB</w:t>
            </w:r>
          </w:p>
        </w:tc>
        <w:tc>
          <w:tcPr>
            <w:tcW w:type="dxa" w:w="1285"/>
          </w:tcPr>
          <w:p>
            <w:pPr>
              <w:spacing w:before="0" w:after="0"/>
              <w:ind w:firstLine="0"/>
              <w:jc w:val="left"/>
            </w:pPr>
            <w:r>
              <w:rPr>
                <w:rFonts w:ascii="Times New Roman" w:hAnsi="Times New Roman"/>
                <w:sz w:val="22"/>
              </w:rPr>
              <w:t>30-80k EUR</w:t>
            </w:r>
          </w:p>
        </w:tc>
        <w:tc>
          <w:tcPr>
            <w:tcW w:type="dxa" w:w="1285"/>
          </w:tcPr>
          <w:p>
            <w:pPr>
              <w:spacing w:before="0" w:after="0"/>
              <w:ind w:firstLine="0"/>
              <w:jc w:val="left"/>
            </w:pPr>
            <w:r>
              <w:rPr>
                <w:rFonts w:ascii="Times New Roman" w:hAnsi="Times New Roman"/>
                <w:sz w:val="22"/>
              </w:rPr>
              <w:t>Cadru exterior</w:t>
            </w:r>
          </w:p>
        </w:tc>
      </w:tr>
      <w:tr>
        <w:tc>
          <w:tcPr>
            <w:tcW w:type="dxa" w:w="1285"/>
          </w:tcPr>
          <w:p>
            <w:pPr>
              <w:spacing w:before="0" w:after="0"/>
              <w:ind w:firstLine="0"/>
              <w:jc w:val="left"/>
            </w:pPr>
            <w:r>
              <w:rPr>
                <w:rFonts w:ascii="Times New Roman" w:hAnsi="Times New Roman"/>
                <w:sz w:val="22"/>
              </w:rPr>
              <w:t>EB-EMS</w:t>
            </w:r>
          </w:p>
        </w:tc>
        <w:tc>
          <w:tcPr>
            <w:tcW w:type="dxa" w:w="1285"/>
          </w:tcPr>
          <w:p>
            <w:pPr>
              <w:spacing w:before="0" w:after="0"/>
              <w:ind w:firstLine="0"/>
              <w:jc w:val="left"/>
            </w:pPr>
            <w:r>
              <w:rPr>
                <w:rFonts w:ascii="Times New Roman" w:hAnsi="Times New Roman"/>
                <w:sz w:val="22"/>
              </w:rPr>
              <w:t>Box Control AI Central</w:t>
            </w:r>
          </w:p>
        </w:tc>
        <w:tc>
          <w:tcPr>
            <w:tcW w:type="dxa" w:w="1285"/>
          </w:tcPr>
          <w:p>
            <w:pPr>
              <w:spacing w:before="0" w:after="0"/>
              <w:ind w:firstLine="0"/>
              <w:jc w:val="left"/>
            </w:pPr>
            <w:r>
              <w:rPr>
                <w:rFonts w:ascii="Times New Roman" w:hAnsi="Times New Roman"/>
                <w:sz w:val="22"/>
              </w:rPr>
              <w:t>EMS HUB + ScenarioLab + AssetHealth + Holistic Aggregator</w:t>
            </w:r>
          </w:p>
        </w:tc>
        <w:tc>
          <w:tcPr>
            <w:tcW w:type="dxa" w:w="1285"/>
          </w:tcPr>
          <w:p>
            <w:pPr>
              <w:spacing w:before="0" w:after="0"/>
              <w:ind w:firstLine="0"/>
              <w:jc w:val="left"/>
            </w:pPr>
            <w:r>
              <w:rPr>
                <w:rFonts w:ascii="Times New Roman" w:hAnsi="Times New Roman"/>
                <w:sz w:val="22"/>
              </w:rPr>
              <w:t>Orchestrare toate Box-urile; interfata catre reteaua comunitara N3-N5</w:t>
            </w:r>
          </w:p>
        </w:tc>
        <w:tc>
          <w:tcPr>
            <w:tcW w:type="dxa" w:w="1285"/>
          </w:tcPr>
          <w:p>
            <w:pPr>
              <w:spacing w:before="0" w:after="0"/>
              <w:ind w:firstLine="0"/>
              <w:jc w:val="left"/>
            </w:pPr>
            <w:r>
              <w:rPr>
                <w:rFonts w:ascii="Times New Roman" w:hAnsi="Times New Roman"/>
                <w:sz w:val="22"/>
              </w:rPr>
              <w:t>20-50k EUR</w:t>
            </w:r>
          </w:p>
        </w:tc>
        <w:tc>
          <w:tcPr>
            <w:tcW w:type="dxa" w:w="1285"/>
          </w:tcPr>
          <w:p>
            <w:pPr>
              <w:spacing w:before="0" w:after="0"/>
              <w:ind w:firstLine="0"/>
              <w:jc w:val="left"/>
            </w:pPr>
            <w:r>
              <w:rPr>
                <w:rFonts w:ascii="Times New Roman" w:hAnsi="Times New Roman"/>
                <w:sz w:val="22"/>
              </w:rPr>
              <w:t>10' ISO</w:t>
            </w:r>
          </w:p>
        </w:tc>
      </w:tr>
      <w:tr>
        <w:tc>
          <w:tcPr>
            <w:tcW w:type="dxa" w:w="1285"/>
          </w:tcPr>
          <w:p>
            <w:pPr>
              <w:spacing w:before="0" w:after="0"/>
              <w:ind w:firstLine="0"/>
              <w:jc w:val="left"/>
            </w:pPr>
            <w:r>
              <w:rPr>
                <w:rFonts w:ascii="Times New Roman" w:hAnsi="Times New Roman"/>
                <w:sz w:val="22"/>
              </w:rPr>
              <w:t>EB-S2E</w:t>
            </w:r>
          </w:p>
        </w:tc>
        <w:tc>
          <w:tcPr>
            <w:tcW w:type="dxa" w:w="1285"/>
          </w:tcPr>
          <w:p>
            <w:pPr>
              <w:spacing w:before="0" w:after="0"/>
              <w:ind w:firstLine="0"/>
              <w:jc w:val="left"/>
            </w:pPr>
            <w:r>
              <w:rPr>
                <w:rFonts w:ascii="Times New Roman" w:hAnsi="Times New Roman"/>
                <w:sz w:val="22"/>
              </w:rPr>
              <w:t>Box Sport-to-Energy</w:t>
            </w:r>
          </w:p>
        </w:tc>
        <w:tc>
          <w:tcPr>
            <w:tcW w:type="dxa" w:w="1285"/>
          </w:tcPr>
          <w:p>
            <w:pPr>
              <w:spacing w:before="0" w:after="0"/>
              <w:ind w:firstLine="0"/>
              <w:jc w:val="left"/>
            </w:pPr>
            <w:r>
              <w:rPr>
                <w:rFonts w:ascii="Times New Roman" w:hAnsi="Times New Roman"/>
                <w:sz w:val="22"/>
              </w:rPr>
              <w:t>Echipamente S2E piezo/EM + stocare + App tracking; 2-5 kWh/capita/an</w:t>
            </w:r>
          </w:p>
        </w:tc>
        <w:tc>
          <w:tcPr>
            <w:tcW w:type="dxa" w:w="1285"/>
          </w:tcPr>
          <w:p>
            <w:pPr>
              <w:spacing w:before="0" w:after="0"/>
              <w:ind w:firstLine="0"/>
              <w:jc w:val="left"/>
            </w:pPr>
            <w:r>
              <w:rPr>
                <w:rFonts w:ascii="Times New Roman" w:hAnsi="Times New Roman"/>
                <w:sz w:val="22"/>
              </w:rPr>
              <w:t>N/A flux termic; contributie sociala + energie electrica comunitara</w:t>
            </w:r>
          </w:p>
        </w:tc>
        <w:tc>
          <w:tcPr>
            <w:tcW w:type="dxa" w:w="1285"/>
          </w:tcPr>
          <w:p>
            <w:pPr>
              <w:spacing w:before="0" w:after="0"/>
              <w:ind w:firstLine="0"/>
              <w:jc w:val="left"/>
            </w:pPr>
            <w:r>
              <w:rPr>
                <w:rFonts w:ascii="Times New Roman" w:hAnsi="Times New Roman"/>
                <w:sz w:val="22"/>
              </w:rPr>
              <w:t>20-60k EUR</w:t>
            </w:r>
          </w:p>
        </w:tc>
        <w:tc>
          <w:tcPr>
            <w:tcW w:type="dxa" w:w="1285"/>
          </w:tcPr>
          <w:p>
            <w:pPr>
              <w:spacing w:before="0" w:after="0"/>
              <w:ind w:firstLine="0"/>
              <w:jc w:val="left"/>
            </w:pPr>
            <w:r>
              <w:rPr>
                <w:rFonts w:ascii="Times New Roman" w:hAnsi="Times New Roman"/>
                <w:sz w:val="22"/>
              </w:rPr>
              <w:t>Pergola/cadru</w:t>
            </w:r>
          </w:p>
        </w:tc>
      </w:tr>
      <w:tr>
        <w:tc>
          <w:tcPr>
            <w:tcW w:type="dxa" w:w="1285"/>
          </w:tcPr>
          <w:p>
            <w:pPr>
              <w:spacing w:before="0" w:after="0"/>
              <w:ind w:firstLine="0"/>
              <w:jc w:val="left"/>
            </w:pPr>
            <w:r>
              <w:rPr>
                <w:rFonts w:ascii="Times New Roman" w:hAnsi="Times New Roman"/>
                <w:sz w:val="22"/>
              </w:rPr>
              <w:t>EB-MIX</w:t>
            </w:r>
          </w:p>
        </w:tc>
        <w:tc>
          <w:tcPr>
            <w:tcW w:type="dxa" w:w="1285"/>
          </w:tcPr>
          <w:p>
            <w:pPr>
              <w:spacing w:before="0" w:after="0"/>
              <w:ind w:firstLine="0"/>
              <w:jc w:val="left"/>
            </w:pPr>
            <w:r>
              <w:rPr>
                <w:rFonts w:ascii="Times New Roman" w:hAnsi="Times New Roman"/>
                <w:sz w:val="22"/>
              </w:rPr>
              <w:t>Box Mixt Custom</w:t>
            </w:r>
          </w:p>
        </w:tc>
        <w:tc>
          <w:tcPr>
            <w:tcW w:type="dxa" w:w="1285"/>
          </w:tcPr>
          <w:p>
            <w:pPr>
              <w:spacing w:before="0" w:after="0"/>
              <w:ind w:firstLine="0"/>
              <w:jc w:val="left"/>
            </w:pPr>
            <w:r>
              <w:rPr>
                <w:rFonts w:ascii="Times New Roman" w:hAnsi="Times New Roman"/>
                <w:sz w:val="22"/>
              </w:rPr>
              <w:t>Combinatie 2-6 module dupa resursa locala si cerere specifica</w:t>
            </w:r>
          </w:p>
        </w:tc>
        <w:tc>
          <w:tcPr>
            <w:tcW w:type="dxa" w:w="1285"/>
          </w:tcPr>
          <w:p>
            <w:pPr>
              <w:spacing w:before="0" w:after="0"/>
              <w:ind w:firstLine="0"/>
              <w:jc w:val="left"/>
            </w:pPr>
            <w:r>
              <w:rPr>
                <w:rFonts w:ascii="Times New Roman" w:hAnsi="Times New Roman"/>
                <w:sz w:val="22"/>
              </w:rPr>
              <w:t>Variabil -- adaptat la contextul comunitatii</w:t>
            </w:r>
          </w:p>
        </w:tc>
        <w:tc>
          <w:tcPr>
            <w:tcW w:type="dxa" w:w="1285"/>
          </w:tcPr>
          <w:p>
            <w:pPr>
              <w:spacing w:before="0" w:after="0"/>
              <w:ind w:firstLine="0"/>
              <w:jc w:val="left"/>
            </w:pPr>
            <w:r>
              <w:rPr>
                <w:rFonts w:ascii="Times New Roman" w:hAnsi="Times New Roman"/>
                <w:sz w:val="22"/>
              </w:rPr>
              <w:t>30-200k EUR</w:t>
            </w:r>
          </w:p>
        </w:tc>
        <w:tc>
          <w:tcPr>
            <w:tcW w:type="dxa" w:w="1285"/>
          </w:tcPr>
          <w:p>
            <w:pPr>
              <w:spacing w:before="0" w:after="0"/>
              <w:ind w:firstLine="0"/>
              <w:jc w:val="left"/>
            </w:pPr>
            <w:r>
              <w:rPr>
                <w:rFonts w:ascii="Times New Roman" w:hAnsi="Times New Roman"/>
                <w:sz w:val="22"/>
              </w:rPr>
              <w:t>20'/40' ISO</w:t>
            </w:r>
          </w:p>
        </w:tc>
      </w:tr>
    </w:tbl>
    <w:p>
      <w:pPr>
        <w:ind w:firstLine="0"/>
      </w:pPr>
    </w:p>
    <w:p>
      <w:pPr>
        <w:ind w:firstLine="0"/>
      </w:pPr>
    </w:p>
    <w:p>
      <w:pPr>
        <w:pStyle w:val="SubHeading"/>
        <w:keepNext/>
      </w:pPr>
      <w:r>
        <w:t>3.2 Modulele energetice elementare -- nivelul n0</w:t>
      </w:r>
    </w:p>
    <w:p>
      <w:pPr>
        <w:ind w:firstLine="0"/>
      </w:pPr>
    </w:p>
    <w:p>
      <w:pPr/>
      <w:r>
        <w:t>Fiecare Exergy Box este compus din module energetice standardizate (N0 -- nivelul moleculei biologice). Modulele sunt unitatile elementare ale arhitecturii, cu interfete standardizate catre nivelul Box:</w:t>
      </w:r>
    </w:p>
    <w:p>
      <w:pPr/>
      <w:r>
        <w:t>Categoriile și specificațiile tehnice ale modulelor integrate sunt detaliate în Tabelul 4.</w:t>
      </w:r>
    </w:p>
    <w:p>
      <w:pPr>
        <w:ind w:firstLine="0"/>
      </w:pPr>
    </w:p>
    <w:p>
      <w:pPr>
        <w:pStyle w:val="TableCaption"/>
      </w:pPr>
      <w:r>
        <w:t>Tabel 4. Categoriile și specificațiile tehnice ale modulelor integrate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Cod</w:t>
            </w:r>
          </w:p>
        </w:tc>
        <w:tc>
          <w:tcPr>
            <w:tcW w:type="dxa" w:w="2570"/>
          </w:tcPr>
          <w:p>
            <w:pPr>
              <w:spacing w:before="0" w:after="0"/>
              <w:ind w:firstLine="0"/>
              <w:jc w:val="left"/>
            </w:pPr>
            <w:r>
              <w:rPr>
                <w:rFonts w:ascii="Times New Roman" w:hAnsi="Times New Roman"/>
                <w:b/>
                <w:sz w:val="22"/>
              </w:rPr>
              <w:t>Categoria Modulului</w:t>
            </w:r>
          </w:p>
        </w:tc>
        <w:tc>
          <w:tcPr>
            <w:tcW w:type="dxa" w:w="2570"/>
          </w:tcPr>
          <w:p>
            <w:pPr>
              <w:spacing w:before="0" w:after="0"/>
              <w:ind w:firstLine="0"/>
              <w:jc w:val="left"/>
            </w:pPr>
            <w:r>
              <w:rPr>
                <w:rFonts w:ascii="Times New Roman" w:hAnsi="Times New Roman"/>
                <w:b/>
                <w:sz w:val="22"/>
              </w:rPr>
              <w:t>Specificatii Tehnice Principale</w:t>
            </w:r>
          </w:p>
        </w:tc>
      </w:tr>
      <w:tr>
        <w:tc>
          <w:tcPr>
            <w:tcW w:type="dxa" w:w="2570"/>
          </w:tcPr>
          <w:p>
            <w:pPr>
              <w:spacing w:before="0" w:after="0"/>
              <w:ind w:firstLine="0"/>
              <w:jc w:val="left"/>
            </w:pPr>
            <w:r>
              <w:rPr>
                <w:rFonts w:ascii="Times New Roman" w:hAnsi="Times New Roman"/>
                <w:sz w:val="22"/>
              </w:rPr>
              <w:t>M-01</w:t>
            </w:r>
          </w:p>
        </w:tc>
        <w:tc>
          <w:tcPr>
            <w:tcW w:type="dxa" w:w="2570"/>
          </w:tcPr>
          <w:p>
            <w:pPr>
              <w:spacing w:before="0" w:after="0"/>
              <w:ind w:firstLine="0"/>
              <w:jc w:val="left"/>
            </w:pPr>
            <w:r>
              <w:rPr>
                <w:rFonts w:ascii="Times New Roman" w:hAnsi="Times New Roman"/>
                <w:sz w:val="22"/>
              </w:rPr>
              <w:t>Pompa de Caldura</w:t>
            </w:r>
          </w:p>
        </w:tc>
        <w:tc>
          <w:tcPr>
            <w:tcW w:type="dxa" w:w="2570"/>
          </w:tcPr>
          <w:p>
            <w:pPr>
              <w:spacing w:before="0" w:after="0"/>
              <w:ind w:firstLine="0"/>
              <w:jc w:val="left"/>
            </w:pPr>
            <w:r>
              <w:rPr>
                <w:rFonts w:ascii="Times New Roman" w:hAnsi="Times New Roman"/>
                <w:sz w:val="22"/>
              </w:rPr>
              <w:t>COP 4-5; R290/CO2; 5-100 kW/unitate; reversibila incalzire/racire</w:t>
            </w:r>
          </w:p>
        </w:tc>
      </w:tr>
      <w:tr>
        <w:tc>
          <w:tcPr>
            <w:tcW w:type="dxa" w:w="2570"/>
          </w:tcPr>
          <w:p>
            <w:pPr>
              <w:spacing w:before="0" w:after="0"/>
              <w:ind w:firstLine="0"/>
              <w:jc w:val="left"/>
            </w:pPr>
            <w:r>
              <w:rPr>
                <w:rFonts w:ascii="Times New Roman" w:hAnsi="Times New Roman"/>
                <w:sz w:val="22"/>
              </w:rPr>
              <w:t>M-02</w:t>
            </w:r>
          </w:p>
        </w:tc>
        <w:tc>
          <w:tcPr>
            <w:tcW w:type="dxa" w:w="2570"/>
          </w:tcPr>
          <w:p>
            <w:pPr>
              <w:spacing w:before="0" w:after="0"/>
              <w:ind w:firstLine="0"/>
              <w:jc w:val="left"/>
            </w:pPr>
            <w:r>
              <w:rPr>
                <w:rFonts w:ascii="Times New Roman" w:hAnsi="Times New Roman"/>
                <w:sz w:val="22"/>
              </w:rPr>
              <w:t>Panou PVT Hibrid</w:t>
            </w:r>
          </w:p>
        </w:tc>
        <w:tc>
          <w:tcPr>
            <w:tcW w:type="dxa" w:w="2570"/>
          </w:tcPr>
          <w:p>
            <w:pPr>
              <w:spacing w:before="0" w:after="0"/>
              <w:ind w:firstLine="0"/>
              <w:jc w:val="left"/>
            </w:pPr>
            <w:r>
              <w:rPr>
                <w:rFonts w:ascii="Times New Roman" w:hAnsi="Times New Roman"/>
                <w:sz w:val="22"/>
              </w:rPr>
              <w:t>Productie electrica + termica simultana; η_combinat 60-75%; 250-400 Wp/panou</w:t>
            </w:r>
          </w:p>
        </w:tc>
      </w:tr>
      <w:tr>
        <w:tc>
          <w:tcPr>
            <w:tcW w:type="dxa" w:w="2570"/>
          </w:tcPr>
          <w:p>
            <w:pPr>
              <w:spacing w:before="0" w:after="0"/>
              <w:ind w:firstLine="0"/>
              <w:jc w:val="left"/>
            </w:pPr>
            <w:r>
              <w:rPr>
                <w:rFonts w:ascii="Times New Roman" w:hAnsi="Times New Roman"/>
                <w:sz w:val="22"/>
              </w:rPr>
              <w:t>M-03</w:t>
            </w:r>
          </w:p>
        </w:tc>
        <w:tc>
          <w:tcPr>
            <w:tcW w:type="dxa" w:w="2570"/>
          </w:tcPr>
          <w:p>
            <w:pPr>
              <w:spacing w:before="0" w:after="0"/>
              <w:ind w:firstLine="0"/>
              <w:jc w:val="left"/>
            </w:pPr>
            <w:r>
              <w:rPr>
                <w:rFonts w:ascii="Times New Roman" w:hAnsi="Times New Roman"/>
                <w:sz w:val="22"/>
              </w:rPr>
              <w:t>Gazeificator SynTech</w:t>
            </w:r>
          </w:p>
        </w:tc>
        <w:tc>
          <w:tcPr>
            <w:tcW w:type="dxa" w:w="2570"/>
          </w:tcPr>
          <w:p>
            <w:pPr>
              <w:spacing w:before="0" w:after="0"/>
              <w:ind w:firstLine="0"/>
              <w:jc w:val="left"/>
            </w:pPr>
            <w:r>
              <w:rPr>
                <w:rFonts w:ascii="Times New Roman" w:hAnsi="Times New Roman"/>
                <w:sz w:val="22"/>
              </w:rPr>
              <w:t>Biomasa/SRF -&gt; syngas -&gt; CHP; 50-500 kWe; η_CHP 75-85%; biochar 5-15%</w:t>
            </w:r>
          </w:p>
        </w:tc>
      </w:tr>
      <w:tr>
        <w:tc>
          <w:tcPr>
            <w:tcW w:type="dxa" w:w="2570"/>
          </w:tcPr>
          <w:p>
            <w:pPr>
              <w:spacing w:before="0" w:after="0"/>
              <w:ind w:firstLine="0"/>
              <w:jc w:val="left"/>
            </w:pPr>
            <w:r>
              <w:rPr>
                <w:rFonts w:ascii="Times New Roman" w:hAnsi="Times New Roman"/>
                <w:sz w:val="22"/>
              </w:rPr>
              <w:t>M-04</w:t>
            </w:r>
          </w:p>
        </w:tc>
        <w:tc>
          <w:tcPr>
            <w:tcW w:type="dxa" w:w="2570"/>
          </w:tcPr>
          <w:p>
            <w:pPr>
              <w:spacing w:before="0" w:after="0"/>
              <w:ind w:firstLine="0"/>
              <w:jc w:val="left"/>
            </w:pPr>
            <w:r>
              <w:rPr>
                <w:rFonts w:ascii="Times New Roman" w:hAnsi="Times New Roman"/>
                <w:sz w:val="22"/>
              </w:rPr>
              <w:t>Micro-turbina / ORC</w:t>
            </w:r>
          </w:p>
        </w:tc>
        <w:tc>
          <w:tcPr>
            <w:tcW w:type="dxa" w:w="2570"/>
          </w:tcPr>
          <w:p>
            <w:pPr>
              <w:spacing w:before="0" w:after="0"/>
              <w:ind w:firstLine="0"/>
              <w:jc w:val="left"/>
            </w:pPr>
            <w:r>
              <w:rPr>
                <w:rFonts w:ascii="Times New Roman" w:hAnsi="Times New Roman"/>
                <w:sz w:val="22"/>
              </w:rPr>
              <w:t>Conversie termica -&gt; electrica la temperatura medie-joasa</w:t>
            </w:r>
          </w:p>
        </w:tc>
      </w:tr>
      <w:tr>
        <w:tc>
          <w:tcPr>
            <w:tcW w:type="dxa" w:w="2570"/>
          </w:tcPr>
          <w:p>
            <w:pPr>
              <w:spacing w:before="0" w:after="0"/>
              <w:ind w:firstLine="0"/>
              <w:jc w:val="left"/>
            </w:pPr>
            <w:r>
              <w:rPr>
                <w:rFonts w:ascii="Times New Roman" w:hAnsi="Times New Roman"/>
                <w:sz w:val="22"/>
              </w:rPr>
              <w:t>M-05</w:t>
            </w:r>
          </w:p>
        </w:tc>
        <w:tc>
          <w:tcPr>
            <w:tcW w:type="dxa" w:w="2570"/>
          </w:tcPr>
          <w:p>
            <w:pPr>
              <w:spacing w:before="0" w:after="0"/>
              <w:ind w:firstLine="0"/>
              <w:jc w:val="left"/>
            </w:pPr>
            <w:r>
              <w:rPr>
                <w:rFonts w:ascii="Times New Roman" w:hAnsi="Times New Roman"/>
                <w:sz w:val="22"/>
              </w:rPr>
              <w:t>Electrolizoar PEM + Pile H2</w:t>
            </w:r>
          </w:p>
        </w:tc>
        <w:tc>
          <w:tcPr>
            <w:tcW w:type="dxa" w:w="2570"/>
          </w:tcPr>
          <w:p>
            <w:pPr>
              <w:spacing w:before="0" w:after="0"/>
              <w:ind w:firstLine="0"/>
              <w:jc w:val="left"/>
            </w:pPr>
            <w:r>
              <w:rPr>
                <w:rFonts w:ascii="Times New Roman" w:hAnsi="Times New Roman"/>
                <w:sz w:val="22"/>
              </w:rPr>
              <w:t>H2 verde reversibil; stocare sezoniera electrochimica</w:t>
            </w:r>
          </w:p>
        </w:tc>
      </w:tr>
      <w:tr>
        <w:tc>
          <w:tcPr>
            <w:tcW w:type="dxa" w:w="2570"/>
          </w:tcPr>
          <w:p>
            <w:pPr>
              <w:spacing w:before="0" w:after="0"/>
              <w:ind w:firstLine="0"/>
              <w:jc w:val="left"/>
            </w:pPr>
            <w:r>
              <w:rPr>
                <w:rFonts w:ascii="Times New Roman" w:hAnsi="Times New Roman"/>
                <w:sz w:val="22"/>
              </w:rPr>
              <w:t>M-06</w:t>
            </w:r>
          </w:p>
        </w:tc>
        <w:tc>
          <w:tcPr>
            <w:tcW w:type="dxa" w:w="2570"/>
          </w:tcPr>
          <w:p>
            <w:pPr>
              <w:spacing w:before="0" w:after="0"/>
              <w:ind w:firstLine="0"/>
              <w:jc w:val="left"/>
            </w:pPr>
            <w:r>
              <w:rPr>
                <w:rFonts w:ascii="Times New Roman" w:hAnsi="Times New Roman"/>
                <w:sz w:val="22"/>
              </w:rPr>
              <w:t>Baterie LFP / Flux Vanadiu</w:t>
            </w:r>
          </w:p>
        </w:tc>
        <w:tc>
          <w:tcPr>
            <w:tcW w:type="dxa" w:w="2570"/>
          </w:tcPr>
          <w:p>
            <w:pPr>
              <w:spacing w:before="0" w:after="0"/>
              <w:ind w:firstLine="0"/>
              <w:jc w:val="left"/>
            </w:pPr>
            <w:r>
              <w:rPr>
                <w:rFonts w:ascii="Times New Roman" w:hAnsi="Times New Roman"/>
                <w:sz w:val="22"/>
              </w:rPr>
              <w:t>Stocare electrica; flux vanadiu: 20.000+ cicluri; 5+ ore</w:t>
            </w:r>
          </w:p>
        </w:tc>
      </w:tr>
      <w:tr>
        <w:tc>
          <w:tcPr>
            <w:tcW w:type="dxa" w:w="2570"/>
          </w:tcPr>
          <w:p>
            <w:pPr>
              <w:spacing w:before="0" w:after="0"/>
              <w:ind w:firstLine="0"/>
              <w:jc w:val="left"/>
            </w:pPr>
            <w:r>
              <w:rPr>
                <w:rFonts w:ascii="Times New Roman" w:hAnsi="Times New Roman"/>
                <w:sz w:val="22"/>
              </w:rPr>
              <w:t>M-07</w:t>
            </w:r>
          </w:p>
        </w:tc>
        <w:tc>
          <w:tcPr>
            <w:tcW w:type="dxa" w:w="2570"/>
          </w:tcPr>
          <w:p>
            <w:pPr>
              <w:spacing w:before="0" w:after="0"/>
              <w:ind w:firstLine="0"/>
              <w:jc w:val="left"/>
            </w:pPr>
            <w:r>
              <w:rPr>
                <w:rFonts w:ascii="Times New Roman" w:hAnsi="Times New Roman"/>
                <w:sz w:val="22"/>
              </w:rPr>
              <w:t>Stocare Termica PCM/Apa</w:t>
            </w:r>
          </w:p>
        </w:tc>
        <w:tc>
          <w:tcPr>
            <w:tcW w:type="dxa" w:w="2570"/>
          </w:tcPr>
          <w:p>
            <w:pPr>
              <w:spacing w:before="0" w:after="0"/>
              <w:ind w:firstLine="0"/>
              <w:jc w:val="left"/>
            </w:pPr>
            <w:r>
              <w:rPr>
                <w:rFonts w:ascii="Times New Roman" w:hAnsi="Times New Roman"/>
                <w:sz w:val="22"/>
              </w:rPr>
              <w:t>PCM: densitate energetica mare, fara stratificare; apa: economica, stratificata</w:t>
            </w:r>
          </w:p>
        </w:tc>
      </w:tr>
      <w:tr>
        <w:tc>
          <w:tcPr>
            <w:tcW w:type="dxa" w:w="2570"/>
          </w:tcPr>
          <w:p>
            <w:pPr>
              <w:spacing w:before="0" w:after="0"/>
              <w:ind w:firstLine="0"/>
              <w:jc w:val="left"/>
            </w:pPr>
            <w:r>
              <w:rPr>
                <w:rFonts w:ascii="Times New Roman" w:hAnsi="Times New Roman"/>
                <w:sz w:val="22"/>
              </w:rPr>
              <w:t>M-08</w:t>
            </w:r>
          </w:p>
        </w:tc>
        <w:tc>
          <w:tcPr>
            <w:tcW w:type="dxa" w:w="2570"/>
          </w:tcPr>
          <w:p>
            <w:pPr>
              <w:spacing w:before="0" w:after="0"/>
              <w:ind w:firstLine="0"/>
              <w:jc w:val="left"/>
            </w:pPr>
            <w:r>
              <w:rPr>
                <w:rFonts w:ascii="Times New Roman" w:hAnsi="Times New Roman"/>
                <w:sz w:val="22"/>
              </w:rPr>
              <w:t>Stocare H2 / BTES</w:t>
            </w:r>
          </w:p>
        </w:tc>
        <w:tc>
          <w:tcPr>
            <w:tcW w:type="dxa" w:w="2570"/>
          </w:tcPr>
          <w:p>
            <w:pPr>
              <w:spacing w:before="0" w:after="0"/>
              <w:ind w:firstLine="0"/>
              <w:jc w:val="left"/>
            </w:pPr>
            <w:r>
              <w:rPr>
                <w:rFonts w:ascii="Times New Roman" w:hAnsi="Times New Roman"/>
                <w:sz w:val="22"/>
              </w:rPr>
              <w:t>H2 sub presiune (350-700 bar) / Borehole TES sezonier 15-40 grade C</w:t>
            </w:r>
          </w:p>
        </w:tc>
      </w:tr>
      <w:tr>
        <w:tc>
          <w:tcPr>
            <w:tcW w:type="dxa" w:w="2570"/>
          </w:tcPr>
          <w:p>
            <w:pPr>
              <w:spacing w:before="0" w:after="0"/>
              <w:ind w:firstLine="0"/>
              <w:jc w:val="left"/>
            </w:pPr>
            <w:r>
              <w:rPr>
                <w:rFonts w:ascii="Times New Roman" w:hAnsi="Times New Roman"/>
                <w:sz w:val="22"/>
              </w:rPr>
              <w:t>M-09</w:t>
            </w:r>
          </w:p>
        </w:tc>
        <w:tc>
          <w:tcPr>
            <w:tcW w:type="dxa" w:w="2570"/>
          </w:tcPr>
          <w:p>
            <w:pPr>
              <w:spacing w:before="0" w:after="0"/>
              <w:ind w:firstLine="0"/>
              <w:jc w:val="left"/>
            </w:pPr>
            <w:r>
              <w:rPr>
                <w:rFonts w:ascii="Times New Roman" w:hAnsi="Times New Roman"/>
                <w:sz w:val="22"/>
              </w:rPr>
              <w:t>Recuperator Caldura Reziduala</w:t>
            </w:r>
          </w:p>
        </w:tc>
        <w:tc>
          <w:tcPr>
            <w:tcW w:type="dxa" w:w="2570"/>
          </w:tcPr>
          <w:p>
            <w:pPr>
              <w:spacing w:before="0" w:after="0"/>
              <w:ind w:firstLine="0"/>
              <w:jc w:val="left"/>
            </w:pPr>
            <w:r>
              <w:rPr>
                <w:rFonts w:ascii="Times New Roman" w:hAnsi="Times New Roman"/>
                <w:sz w:val="22"/>
              </w:rPr>
              <w:t>HRSG, schimbatoare de caldura multi-trece; recuperare &gt;=90% caldura CHP</w:t>
            </w:r>
          </w:p>
        </w:tc>
      </w:tr>
      <w:tr>
        <w:tc>
          <w:tcPr>
            <w:tcW w:type="dxa" w:w="2570"/>
          </w:tcPr>
          <w:p>
            <w:pPr>
              <w:spacing w:before="0" w:after="0"/>
              <w:ind w:firstLine="0"/>
              <w:jc w:val="left"/>
            </w:pPr>
            <w:r>
              <w:rPr>
                <w:rFonts w:ascii="Times New Roman" w:hAnsi="Times New Roman"/>
                <w:sz w:val="22"/>
              </w:rPr>
              <w:t>M-10</w:t>
            </w:r>
          </w:p>
        </w:tc>
        <w:tc>
          <w:tcPr>
            <w:tcW w:type="dxa" w:w="2570"/>
          </w:tcPr>
          <w:p>
            <w:pPr>
              <w:spacing w:before="0" w:after="0"/>
              <w:ind w:firstLine="0"/>
              <w:jc w:val="left"/>
            </w:pPr>
            <w:r>
              <w:rPr>
                <w:rFonts w:ascii="Times New Roman" w:hAnsi="Times New Roman"/>
                <w:sz w:val="22"/>
              </w:rPr>
              <w:t>Senzori + Comunicatie IoT</w:t>
            </w:r>
          </w:p>
        </w:tc>
        <w:tc>
          <w:tcPr>
            <w:tcW w:type="dxa" w:w="2570"/>
          </w:tcPr>
          <w:p>
            <w:pPr>
              <w:spacing w:before="0" w:after="0"/>
              <w:ind w:firstLine="0"/>
              <w:jc w:val="left"/>
            </w:pPr>
            <w:r>
              <w:rPr>
                <w:rFonts w:ascii="Times New Roman" w:hAnsi="Times New Roman"/>
                <w:sz w:val="22"/>
              </w:rPr>
              <w:t>Retea senzori IoT; protocol OPC-UA (IEC 62541) + MQTT; edge computing</w:t>
            </w:r>
          </w:p>
        </w:tc>
      </w:tr>
      <w:tr>
        <w:tc>
          <w:tcPr>
            <w:tcW w:type="dxa" w:w="2570"/>
          </w:tcPr>
          <w:p>
            <w:pPr>
              <w:spacing w:before="0" w:after="0"/>
              <w:ind w:firstLine="0"/>
              <w:jc w:val="left"/>
            </w:pPr>
            <w:r>
              <w:rPr>
                <w:rFonts w:ascii="Times New Roman" w:hAnsi="Times New Roman"/>
                <w:sz w:val="22"/>
              </w:rPr>
              <w:t>M-11</w:t>
            </w:r>
          </w:p>
        </w:tc>
        <w:tc>
          <w:tcPr>
            <w:tcW w:type="dxa" w:w="2570"/>
          </w:tcPr>
          <w:p>
            <w:pPr>
              <w:spacing w:before="0" w:after="0"/>
              <w:ind w:firstLine="0"/>
              <w:jc w:val="left"/>
            </w:pPr>
            <w:r>
              <w:rPr>
                <w:rFonts w:ascii="Times New Roman" w:hAnsi="Times New Roman"/>
                <w:sz w:val="22"/>
              </w:rPr>
              <w:t>Controller EMS Edge</w:t>
            </w:r>
          </w:p>
        </w:tc>
        <w:tc>
          <w:tcPr>
            <w:tcW w:type="dxa" w:w="2570"/>
          </w:tcPr>
          <w:p>
            <w:pPr>
              <w:spacing w:before="0" w:after="0"/>
              <w:ind w:firstLine="0"/>
              <w:jc w:val="left"/>
            </w:pPr>
            <w:r>
              <w:rPr>
                <w:rFonts w:ascii="Times New Roman" w:hAnsi="Times New Roman"/>
                <w:sz w:val="22"/>
              </w:rPr>
              <w:t>Procesare locala; dispatch; protectii; ScenarioLab local; latenta &lt;100ms</w:t>
            </w:r>
          </w:p>
        </w:tc>
      </w:tr>
      <w:tr>
        <w:tc>
          <w:tcPr>
            <w:tcW w:type="dxa" w:w="2570"/>
          </w:tcPr>
          <w:p>
            <w:pPr>
              <w:spacing w:before="0" w:after="0"/>
              <w:ind w:firstLine="0"/>
              <w:jc w:val="left"/>
            </w:pPr>
            <w:r>
              <w:rPr>
                <w:rFonts w:ascii="Times New Roman" w:hAnsi="Times New Roman"/>
                <w:sz w:val="22"/>
              </w:rPr>
              <w:t>M-12</w:t>
            </w:r>
          </w:p>
        </w:tc>
        <w:tc>
          <w:tcPr>
            <w:tcW w:type="dxa" w:w="2570"/>
          </w:tcPr>
          <w:p>
            <w:pPr>
              <w:spacing w:before="0" w:after="0"/>
              <w:ind w:firstLine="0"/>
              <w:jc w:val="left"/>
            </w:pPr>
            <w:r>
              <w:rPr>
                <w:rFonts w:ascii="Times New Roman" w:hAnsi="Times New Roman"/>
                <w:sz w:val="22"/>
              </w:rPr>
              <w:t>Interfata V2G + S2E</w:t>
            </w:r>
          </w:p>
        </w:tc>
        <w:tc>
          <w:tcPr>
            <w:tcW w:type="dxa" w:w="2570"/>
          </w:tcPr>
          <w:p>
            <w:pPr>
              <w:spacing w:before="0" w:after="0"/>
              <w:ind w:firstLine="0"/>
              <w:jc w:val="left"/>
            </w:pPr>
            <w:r>
              <w:rPr>
                <w:rFonts w:ascii="Times New Roman" w:hAnsi="Times New Roman"/>
                <w:sz w:val="22"/>
              </w:rPr>
              <w:t>ISO 15118 V2G bidirectional; convertoare S2E piezo/electromagnetic</w:t>
            </w:r>
          </w:p>
        </w:tc>
      </w:tr>
    </w:tbl>
    <w:p>
      <w:pPr>
        <w:ind w:firstLine="0"/>
      </w:pPr>
    </w:p>
    <w:p>
      <w:pPr>
        <w:ind w:firstLine="0"/>
      </w:pPr>
    </w:p>
    <w:p>
      <w:pPr>
        <w:pStyle w:val="ChapterHeading"/>
        <w:keepNext/>
      </w:pPr>
      <w:r>
        <w:t>4. Principiul Plug-and-play -- Containerizarea ca Paradigma de Industrializare</w:t>
      </w:r>
    </w:p>
    <w:p>
      <w:pPr>
        <w:ind w:firstLine="0"/>
      </w:pPr>
    </w:p>
    <w:p>
      <w:pPr/>
      <w:r>
        <w:t>Principiul plug-and-play al Exergy HUB inseamna ca fiecare Exergy Box este fabricat, asamblat, testat si certificat integral in fabrica, livrat pe locatie in container standardizat ISO 668, si conectat la sistemul HUB in mai putin de 5 zile fara engineering custom la locatie. Aceasta paradigma transforma instalarea infrastructurii energetice comunitare dintr-un proces de constructie (6-24 luni) intr-un proces de montaj industrial (5-15 zile) -- identic cu instalarea unui utilaj industrial, nu cu construirea unui centru termic.</w:t>
      </w:r>
    </w:p>
    <w:p>
      <w:pPr>
        <w:ind w:firstLine="0"/>
      </w:pPr>
    </w:p>
    <w:p>
      <w:pPr>
        <w:pStyle w:val="SubHeading"/>
        <w:keepNext/>
      </w:pPr>
      <w:r>
        <w:t>4.1 Iso 668 ca fundament al replicabilitatii globale</w:t>
      </w:r>
    </w:p>
    <w:p>
      <w:pPr>
        <w:ind w:firstLine="0"/>
      </w:pPr>
    </w:p>
    <w:p>
      <w:pPr/>
      <w:r>
        <w:t>ISO 668 stabileste dimensiunile standardizate ale containerelor de transport maritime: 20 picioare (6.06 x 2.44 x 2.59 m) si 40 picioare (12.19 x 2.44 x 2.59 m), cu structura din otel rezistenta la stivuire 9 containere pline si la transport multimodal (camion, tren, vapoare cargo). Utilizarea containerelor ISO 668 ca structura portanta a Exergy Box-urilor genereaza 7 avantaje operationale directe:</w:t>
      </w:r>
    </w:p>
    <w:p>
      <w:pPr/>
      <w:r>
        <w:t>Avantajele operaționale ale sistemului Exergy HUB se pot observa în Tabelul 5.</w:t>
      </w:r>
    </w:p>
    <w:p>
      <w:pPr>
        <w:ind w:firstLine="0"/>
      </w:pPr>
    </w:p>
    <w:p>
      <w:pPr>
        <w:pStyle w:val="TableCaption"/>
      </w:pPr>
      <w:r>
        <w:t>Tabel 5. Avantajele operaționale ale sistemului Exergy HUB</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Avantaj</w:t>
            </w:r>
          </w:p>
        </w:tc>
        <w:tc>
          <w:tcPr>
            <w:tcW w:type="dxa" w:w="3855"/>
          </w:tcPr>
          <w:p>
            <w:pPr>
              <w:spacing w:before="0" w:after="0"/>
              <w:ind w:firstLine="0"/>
              <w:jc w:val="left"/>
            </w:pPr>
            <w:r>
              <w:rPr>
                <w:rFonts w:ascii="Times New Roman" w:hAnsi="Times New Roman"/>
                <w:b/>
                <w:sz w:val="22"/>
              </w:rPr>
              <w:t>Continut si Implicatia Operationala</w:t>
            </w:r>
          </w:p>
        </w:tc>
      </w:tr>
      <w:tr>
        <w:tc>
          <w:tcPr>
            <w:tcW w:type="dxa" w:w="3855"/>
          </w:tcPr>
          <w:p>
            <w:pPr>
              <w:spacing w:before="0" w:after="0"/>
              <w:ind w:firstLine="0"/>
              <w:jc w:val="left"/>
            </w:pPr>
            <w:r>
              <w:rPr>
                <w:rFonts w:ascii="Times New Roman" w:hAnsi="Times New Roman"/>
                <w:sz w:val="22"/>
              </w:rPr>
              <w:t>A1 -- Fabricatie in serie industriala</w:t>
            </w:r>
          </w:p>
        </w:tc>
        <w:tc>
          <w:tcPr>
            <w:tcW w:type="dxa" w:w="3855"/>
          </w:tcPr>
          <w:p>
            <w:pPr>
              <w:spacing w:before="0" w:after="0"/>
              <w:ind w:firstLine="0"/>
              <w:jc w:val="left"/>
            </w:pPr>
            <w:r>
              <w:rPr>
                <w:rFonts w:ascii="Times New Roman" w:hAnsi="Times New Roman"/>
                <w:sz w:val="22"/>
              </w:rPr>
              <w:t>Box-urile sunt produse in fabrica specializata, nu construite pe santier. Controlul calitatii este industrializat, repetabil, certificabil per lot de productie. Costuri de fabricatie scad cu 30-50% vs. constructie personalizata dupa economii de scara.</w:t>
            </w:r>
          </w:p>
        </w:tc>
      </w:tr>
      <w:tr>
        <w:tc>
          <w:tcPr>
            <w:tcW w:type="dxa" w:w="3855"/>
          </w:tcPr>
          <w:p>
            <w:pPr>
              <w:spacing w:before="0" w:after="0"/>
              <w:ind w:firstLine="0"/>
              <w:jc w:val="left"/>
            </w:pPr>
            <w:r>
              <w:rPr>
                <w:rFonts w:ascii="Times New Roman" w:hAnsi="Times New Roman"/>
                <w:sz w:val="22"/>
              </w:rPr>
              <w:t>A2 -- FAT complet in fabrica</w:t>
            </w:r>
          </w:p>
        </w:tc>
        <w:tc>
          <w:tcPr>
            <w:tcW w:type="dxa" w:w="3855"/>
          </w:tcPr>
          <w:p>
            <w:pPr>
              <w:spacing w:before="0" w:after="0"/>
              <w:ind w:firstLine="0"/>
              <w:jc w:val="left"/>
            </w:pPr>
            <w:r>
              <w:rPr>
                <w:rFonts w:ascii="Times New Roman" w:hAnsi="Times New Roman"/>
                <w:sz w:val="22"/>
              </w:rPr>
              <w:t>Factory Acceptance Test (electric, termic, comunicatii, AI) inainte de livrare. Clientul primeste un Box testat si certificat -- nu un santier de testare in propria localitate. Problemele sunt detectate si rezolvate in fabrica, nu in exploatare.</w:t>
            </w:r>
          </w:p>
        </w:tc>
      </w:tr>
      <w:tr>
        <w:tc>
          <w:tcPr>
            <w:tcW w:type="dxa" w:w="3855"/>
          </w:tcPr>
          <w:p>
            <w:pPr>
              <w:spacing w:before="0" w:after="0"/>
              <w:ind w:firstLine="0"/>
              <w:jc w:val="left"/>
            </w:pPr>
            <w:r>
              <w:rPr>
                <w:rFonts w:ascii="Times New Roman" w:hAnsi="Times New Roman"/>
                <w:sz w:val="22"/>
              </w:rPr>
              <w:t>A3 -- Logistica standard globala</w:t>
            </w:r>
          </w:p>
        </w:tc>
        <w:tc>
          <w:tcPr>
            <w:tcW w:type="dxa" w:w="3855"/>
          </w:tcPr>
          <w:p>
            <w:pPr>
              <w:spacing w:before="0" w:after="0"/>
              <w:ind w:firstLine="0"/>
              <w:jc w:val="left"/>
            </w:pPr>
            <w:r>
              <w:rPr>
                <w:rFonts w:ascii="Times New Roman" w:hAnsi="Times New Roman"/>
                <w:sz w:val="22"/>
              </w:rPr>
              <w:t>Orice camion cu prelata, tren plat sau vapoare cargo standard poate transporta Box-uri ISO fara vehicule speciale. Infrastructura existenta de transport global este suficienta -- HUB-ul poate fi livrat in orice localitate accesibila rutier.</w:t>
            </w:r>
          </w:p>
        </w:tc>
      </w:tr>
      <w:tr>
        <w:tc>
          <w:tcPr>
            <w:tcW w:type="dxa" w:w="3855"/>
          </w:tcPr>
          <w:p>
            <w:pPr>
              <w:spacing w:before="0" w:after="0"/>
              <w:ind w:firstLine="0"/>
              <w:jc w:val="left"/>
            </w:pPr>
            <w:r>
              <w:rPr>
                <w:rFonts w:ascii="Times New Roman" w:hAnsi="Times New Roman"/>
                <w:sz w:val="22"/>
              </w:rPr>
              <w:t>A4 -- Instalare plug-and-play sub 5 zile per Box</w:t>
            </w:r>
          </w:p>
        </w:tc>
        <w:tc>
          <w:tcPr>
            <w:tcW w:type="dxa" w:w="3855"/>
          </w:tcPr>
          <w:p>
            <w:pPr>
              <w:spacing w:before="0" w:after="0"/>
              <w:ind w:firstLine="0"/>
              <w:jc w:val="left"/>
            </w:pPr>
            <w:r>
              <w:rPr>
                <w:rFonts w:ascii="Times New Roman" w:hAnsi="Times New Roman"/>
                <w:sz w:val="22"/>
              </w:rPr>
              <w:t>La locatie: fundatie simpla (placa beton sau piloti), conexiuni standardizate (electric: cablu BT/MT; termic: mufe rapide EN 253; date: fibra optica LC/APC), conectare la magistrala HUB. Fara ingineri specialisti pe durata instalarii -- tehnicieni certificati prin 3 zile de training EquityX.</w:t>
            </w:r>
          </w:p>
        </w:tc>
      </w:tr>
      <w:tr>
        <w:tc>
          <w:tcPr>
            <w:tcW w:type="dxa" w:w="3855"/>
          </w:tcPr>
          <w:p>
            <w:pPr>
              <w:spacing w:before="0" w:after="0"/>
              <w:ind w:firstLine="0"/>
              <w:jc w:val="left"/>
            </w:pPr>
            <w:r>
              <w:rPr>
                <w:rFonts w:ascii="Times New Roman" w:hAnsi="Times New Roman"/>
                <w:sz w:val="22"/>
              </w:rPr>
              <w:t>A5 -- Upgrade fara oprire sistem</w:t>
            </w:r>
          </w:p>
        </w:tc>
        <w:tc>
          <w:tcPr>
            <w:tcW w:type="dxa" w:w="3855"/>
          </w:tcPr>
          <w:p>
            <w:pPr>
              <w:spacing w:before="0" w:after="0"/>
              <w:ind w:firstLine="0"/>
              <w:jc w:val="left"/>
            </w:pPr>
            <w:r>
              <w:rPr>
                <w:rFonts w:ascii="Times New Roman" w:hAnsi="Times New Roman"/>
                <w:sz w:val="22"/>
              </w:rPr>
              <w:t>Inlocuirea unui Box pentru upgrade (ex. EB-CHP Gen.1 -&gt; Gen.2) se face prin deconectare, extractie cu macara, instalare Box nou, reconectare -- in timp ce restul HUB-ului continua sa functioneze. Niciun consumator nu este afectat pe durata upgrade-ului.</w:t>
            </w:r>
          </w:p>
        </w:tc>
      </w:tr>
      <w:tr>
        <w:tc>
          <w:tcPr>
            <w:tcW w:type="dxa" w:w="3855"/>
          </w:tcPr>
          <w:p>
            <w:pPr>
              <w:spacing w:before="0" w:after="0"/>
              <w:ind w:firstLine="0"/>
              <w:jc w:val="left"/>
            </w:pPr>
            <w:r>
              <w:rPr>
                <w:rFonts w:ascii="Times New Roman" w:hAnsi="Times New Roman"/>
                <w:sz w:val="22"/>
              </w:rPr>
              <w:t>A6 -- Relocabilitate si SolidarityX</w:t>
            </w:r>
          </w:p>
        </w:tc>
        <w:tc>
          <w:tcPr>
            <w:tcW w:type="dxa" w:w="3855"/>
          </w:tcPr>
          <w:p>
            <w:pPr>
              <w:spacing w:before="0" w:after="0"/>
              <w:ind w:firstLine="0"/>
              <w:jc w:val="left"/>
            </w:pPr>
            <w:r>
              <w:rPr>
                <w:rFonts w:ascii="Times New Roman" w:hAnsi="Times New Roman"/>
                <w:sz w:val="22"/>
              </w:rPr>
              <w:t>Un Box poate fi deconectat, transportat si reinstalat intr-o alta comunitate. EB-S2E si EB-SOL reconditionari merg la comunitati cu resurse limitate prin programul SolidarityX. Infrastructura energetica devine bun reciclabil social, nu imobilizare permanenta.</w:t>
            </w:r>
          </w:p>
        </w:tc>
      </w:tr>
      <w:tr>
        <w:tc>
          <w:tcPr>
            <w:tcW w:type="dxa" w:w="3855"/>
          </w:tcPr>
          <w:p>
            <w:pPr>
              <w:spacing w:before="0" w:after="0"/>
              <w:ind w:firstLine="0"/>
              <w:jc w:val="left"/>
            </w:pPr>
            <w:r>
              <w:rPr>
                <w:rFonts w:ascii="Times New Roman" w:hAnsi="Times New Roman"/>
                <w:sz w:val="22"/>
              </w:rPr>
              <w:t>A7 -- Standardizarea interfetelor (EBI)</w:t>
            </w:r>
          </w:p>
        </w:tc>
        <w:tc>
          <w:tcPr>
            <w:tcW w:type="dxa" w:w="3855"/>
          </w:tcPr>
          <w:p>
            <w:pPr>
              <w:spacing w:before="0" w:after="0"/>
              <w:ind w:firstLine="0"/>
              <w:jc w:val="left"/>
            </w:pPr>
            <w:r>
              <w:rPr>
                <w:rFonts w:ascii="Times New Roman" w:hAnsi="Times New Roman"/>
                <w:sz w:val="22"/>
              </w:rPr>
              <w:t>Interfata Box-HUB (Exergy Box Interface) este identica pe toate cele 9 tipologii: 4 conexiuni fizice standardizate (electric, termic, combustibil, date) + 1 API software cu schema JSON de 47 parametri per Box. Un EMS HUB vede identic EB-CHP si EB-SOL.</w:t>
            </w:r>
          </w:p>
        </w:tc>
      </w:tr>
    </w:tbl>
    <w:p>
      <w:pPr>
        <w:ind w:firstLine="0"/>
      </w:pPr>
    </w:p>
    <w:p>
      <w:pPr>
        <w:ind w:firstLine="0"/>
      </w:pPr>
    </w:p>
    <w:p>
      <w:pPr>
        <w:pStyle w:val="SubHeading"/>
        <w:keepNext/>
      </w:pPr>
      <w:r>
        <w:t>4.2 Cele trei moduri de instalare a box-urilor</w:t>
      </w:r>
    </w:p>
    <w:p>
      <w:pPr>
        <w:ind w:firstLine="0"/>
      </w:pPr>
    </w:p>
    <w:p>
      <w:pPr/>
      <w:r>
        <w:t>Modurile de instalare și cerințele pentru box-uri preferate sunt prezentate în Tabelul 6.</w:t>
      </w:r>
    </w:p>
    <w:p>
      <w:pPr>
        <w:ind w:firstLine="0"/>
      </w:pPr>
    </w:p>
    <w:p>
      <w:pPr>
        <w:pStyle w:val="TableCaption"/>
      </w:pPr>
      <w:r>
        <w:t>Tabel 6. Modurile de instalare și cerințele pentru box-uri preferate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Mod Instalare</w:t>
            </w:r>
          </w:p>
        </w:tc>
        <w:tc>
          <w:tcPr>
            <w:tcW w:type="dxa" w:w="2570"/>
          </w:tcPr>
          <w:p>
            <w:pPr>
              <w:spacing w:before="0" w:after="0"/>
              <w:ind w:firstLine="0"/>
              <w:jc w:val="left"/>
            </w:pPr>
            <w:r>
              <w:rPr>
                <w:rFonts w:ascii="Times New Roman" w:hAnsi="Times New Roman"/>
                <w:b/>
                <w:sz w:val="22"/>
              </w:rPr>
              <w:t>Box-uri Preferate</w:t>
            </w:r>
          </w:p>
        </w:tc>
        <w:tc>
          <w:tcPr>
            <w:tcW w:type="dxa" w:w="2570"/>
          </w:tcPr>
          <w:p>
            <w:pPr>
              <w:spacing w:before="0" w:after="0"/>
              <w:ind w:firstLine="0"/>
              <w:jc w:val="left"/>
            </w:pPr>
            <w:r>
              <w:rPr>
                <w:rFonts w:ascii="Times New Roman" w:hAnsi="Times New Roman"/>
                <w:b/>
                <w:sz w:val="22"/>
              </w:rPr>
              <w:t>Specificatii, Avantaje si Cerinte</w:t>
            </w:r>
          </w:p>
        </w:tc>
      </w:tr>
      <w:tr>
        <w:tc>
          <w:tcPr>
            <w:tcW w:type="dxa" w:w="2570"/>
          </w:tcPr>
          <w:p>
            <w:pPr>
              <w:spacing w:before="0" w:after="0"/>
              <w:ind w:firstLine="0"/>
              <w:jc w:val="left"/>
            </w:pPr>
            <w:r>
              <w:rPr>
                <w:rFonts w:ascii="Times New Roman" w:hAnsi="Times New Roman"/>
                <w:sz w:val="22"/>
              </w:rPr>
              <w:t>Subteran</w:t>
            </w:r>
          </w:p>
        </w:tc>
        <w:tc>
          <w:tcPr>
            <w:tcW w:type="dxa" w:w="2570"/>
          </w:tcPr>
          <w:p>
            <w:pPr>
              <w:spacing w:before="0" w:after="0"/>
              <w:ind w:firstLine="0"/>
              <w:jc w:val="left"/>
            </w:pPr>
            <w:r>
              <w:rPr>
                <w:rFonts w:ascii="Times New Roman" w:hAnsi="Times New Roman"/>
                <w:sz w:val="22"/>
              </w:rPr>
              <w:t>EB-STO, EB-H2, EB-EMS preferat</w:t>
            </w:r>
          </w:p>
        </w:tc>
        <w:tc>
          <w:tcPr>
            <w:tcW w:type="dxa" w:w="2570"/>
          </w:tcPr>
          <w:p>
            <w:pPr>
              <w:spacing w:before="0" w:after="0"/>
              <w:ind w:firstLine="0"/>
              <w:jc w:val="left"/>
            </w:pPr>
            <w:r>
              <w:rPr>
                <w:rFonts w:ascii="Times New Roman" w:hAnsi="Times New Roman"/>
                <w:sz w:val="22"/>
              </w:rPr>
              <w:t>Izolatie termica naturala a solului (15-18 grade C constant), eliberarea suprafetei pentru uz comunitar, protectie fizica si vizuala. Cerinte obligatorii: hidroizolatie EN 13967, ventilatie fortata (6 schimburi aer/ora + detectoare gaz), protectie ATEX pentru EB-H2, drenaj EN 12056-3, protectie seismica EN 1998.</w:t>
            </w:r>
          </w:p>
        </w:tc>
      </w:tr>
      <w:tr>
        <w:tc>
          <w:tcPr>
            <w:tcW w:type="dxa" w:w="2570"/>
          </w:tcPr>
          <w:p>
            <w:pPr>
              <w:spacing w:before="0" w:after="0"/>
              <w:ind w:firstLine="0"/>
              <w:jc w:val="left"/>
            </w:pPr>
            <w:r>
              <w:rPr>
                <w:rFonts w:ascii="Times New Roman" w:hAnsi="Times New Roman"/>
                <w:sz w:val="22"/>
              </w:rPr>
              <w:t>Suprateran standard</w:t>
            </w:r>
          </w:p>
        </w:tc>
        <w:tc>
          <w:tcPr>
            <w:tcW w:type="dxa" w:w="2570"/>
          </w:tcPr>
          <w:p>
            <w:pPr>
              <w:spacing w:before="0" w:after="0"/>
              <w:ind w:firstLine="0"/>
              <w:jc w:val="left"/>
            </w:pPr>
            <w:r>
              <w:rPr>
                <w:rFonts w:ascii="Times New Roman" w:hAnsi="Times New Roman"/>
                <w:sz w:val="22"/>
              </w:rPr>
              <w:t>EB-CHP, EB-EVC, zone industriale</w:t>
            </w:r>
          </w:p>
        </w:tc>
        <w:tc>
          <w:tcPr>
            <w:tcW w:type="dxa" w:w="2570"/>
          </w:tcPr>
          <w:p>
            <w:pPr>
              <w:spacing w:before="0" w:after="0"/>
              <w:ind w:firstLine="0"/>
              <w:jc w:val="left"/>
            </w:pPr>
            <w:r>
              <w:rPr>
                <w:rFonts w:ascii="Times New Roman" w:hAnsi="Times New Roman"/>
                <w:sz w:val="22"/>
              </w:rPr>
              <w:t>Container vizibil, acces facil pentru mentenanta, montaj rapid si economic. Optim pentru zone industriale sau spatii tehnice dedicate. Dezavantaj: impact vizual, expunere climatica.</w:t>
            </w:r>
          </w:p>
        </w:tc>
      </w:tr>
      <w:tr>
        <w:tc>
          <w:tcPr>
            <w:tcW w:type="dxa" w:w="2570"/>
          </w:tcPr>
          <w:p>
            <w:pPr>
              <w:spacing w:before="0" w:after="0"/>
              <w:ind w:firstLine="0"/>
              <w:jc w:val="left"/>
            </w:pPr>
            <w:r>
              <w:rPr>
                <w:rFonts w:ascii="Times New Roman" w:hAnsi="Times New Roman"/>
                <w:sz w:val="22"/>
              </w:rPr>
              <w:t>SymbiotyX Pod suprateran</w:t>
            </w:r>
          </w:p>
        </w:tc>
        <w:tc>
          <w:tcPr>
            <w:tcW w:type="dxa" w:w="2570"/>
          </w:tcPr>
          <w:p>
            <w:pPr>
              <w:spacing w:before="0" w:after="0"/>
              <w:ind w:firstLine="0"/>
              <w:jc w:val="left"/>
            </w:pPr>
            <w:r>
              <w:rPr>
                <w:rFonts w:ascii="Times New Roman" w:hAnsi="Times New Roman"/>
                <w:sz w:val="22"/>
              </w:rPr>
              <w:t>EB-SOL, EB-S2E, zone comunitare publice</w:t>
            </w:r>
          </w:p>
        </w:tc>
        <w:tc>
          <w:tcPr>
            <w:tcW w:type="dxa" w:w="2570"/>
          </w:tcPr>
          <w:p>
            <w:pPr>
              <w:spacing w:before="0" w:after="0"/>
              <w:ind w:firstLine="0"/>
              <w:jc w:val="left"/>
            </w:pPr>
            <w:r>
              <w:rPr>
                <w:rFonts w:ascii="Times New Roman" w:hAnsi="Times New Roman"/>
                <w:sz w:val="22"/>
              </w:rPr>
              <w:t>Invelis regenerativ pe container: materiale naturale (lemn FSC/PEFC, bambus, otel reciclat), vegetatie verticala (~2 kg CO2/m2/an captare + izolatie R_add +0.3 m2K/W), panouri PVT pe fatade E-S-V (250-400 Wp/panou), Copaci Energetici cu micro-turbine Aeroleaf (&lt;25 dB), fertiirigare automata EMS. Transforma infrastructura tehnica in spatiu comunitar regenerativ.</w:t>
            </w:r>
          </w:p>
        </w:tc>
      </w:tr>
    </w:tbl>
    <w:p>
      <w:pPr>
        <w:ind w:firstLine="0"/>
      </w:pPr>
    </w:p>
    <w:p>
      <w:pPr>
        <w:ind w:firstLine="0"/>
      </w:pPr>
    </w:p>
    <w:p>
      <w:pPr>
        <w:pStyle w:val="SubHeading"/>
        <w:keepNext/>
      </w:pPr>
      <w:r>
        <w:t>4.3 Exergy box interface (ebi) -- standardul de interconectare</w:t>
      </w:r>
    </w:p>
    <w:p>
      <w:pPr>
        <w:ind w:firstLine="0"/>
      </w:pPr>
    </w:p>
    <w:p>
      <w:pPr/>
      <w:r>
        <w:t>EBI este protocolul standardizat al tuturor conexiunilor dintre un Box si restul HUB-ului. Standardizarea completa a interfetei este conditia care face posibil upgrade-ul individual de Box fara impactul asupra sistemului:</w:t>
      </w:r>
    </w:p>
    <w:p>
      <w:pPr/>
      <w:r>
        <w:t>Tipurile de conexiuni EBI și standardele tehnice aplicabile sunt sistematizate în Tabelul 7.</w:t>
      </w:r>
    </w:p>
    <w:p>
      <w:pPr>
        <w:ind w:firstLine="0"/>
      </w:pPr>
    </w:p>
    <w:p>
      <w:pPr>
        <w:pStyle w:val="TableCaption"/>
      </w:pPr>
      <w:r>
        <w:t>Tabel 7. Tipurile de conexiuni EBI și standardele tehnice aplicabile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Tip Conexiune EBI</w:t>
            </w:r>
          </w:p>
        </w:tc>
        <w:tc>
          <w:tcPr>
            <w:tcW w:type="dxa" w:w="3855"/>
          </w:tcPr>
          <w:p>
            <w:pPr>
              <w:spacing w:before="0" w:after="0"/>
              <w:ind w:firstLine="0"/>
              <w:jc w:val="left"/>
            </w:pPr>
            <w:r>
              <w:rPr>
                <w:rFonts w:ascii="Times New Roman" w:hAnsi="Times New Roman"/>
                <w:b/>
                <w:sz w:val="22"/>
              </w:rPr>
              <w:t>Specificatii Tehnice si Standarde Aplicabile</w:t>
            </w:r>
          </w:p>
        </w:tc>
      </w:tr>
      <w:tr>
        <w:tc>
          <w:tcPr>
            <w:tcW w:type="dxa" w:w="3855"/>
          </w:tcPr>
          <w:p>
            <w:pPr>
              <w:spacing w:before="0" w:after="0"/>
              <w:ind w:firstLine="0"/>
              <w:jc w:val="left"/>
            </w:pPr>
            <w:r>
              <w:rPr>
                <w:rFonts w:ascii="Times New Roman" w:hAnsi="Times New Roman"/>
                <w:sz w:val="22"/>
              </w:rPr>
              <w:t>EBI-E -- Electric</w:t>
            </w:r>
          </w:p>
        </w:tc>
        <w:tc>
          <w:tcPr>
            <w:tcW w:type="dxa" w:w="3855"/>
          </w:tcPr>
          <w:p>
            <w:pPr>
              <w:spacing w:before="0" w:after="0"/>
              <w:ind w:firstLine="0"/>
              <w:jc w:val="left"/>
            </w:pPr>
            <w:r>
              <w:rPr>
                <w:rFonts w:ascii="Times New Roman" w:hAnsi="Times New Roman"/>
                <w:sz w:val="22"/>
              </w:rPr>
              <w:t>Racord standardizat BT (400V/50Hz) sau MT (1-10 kV); protectii automate; tele-sectionalizare; masurare bidirectionala EN 62053</w:t>
            </w:r>
          </w:p>
        </w:tc>
      </w:tr>
      <w:tr>
        <w:tc>
          <w:tcPr>
            <w:tcW w:type="dxa" w:w="3855"/>
          </w:tcPr>
          <w:p>
            <w:pPr>
              <w:spacing w:before="0" w:after="0"/>
              <w:ind w:firstLine="0"/>
              <w:jc w:val="left"/>
            </w:pPr>
            <w:r>
              <w:rPr>
                <w:rFonts w:ascii="Times New Roman" w:hAnsi="Times New Roman"/>
                <w:sz w:val="22"/>
              </w:rPr>
              <w:t>EBI-T -- Termic</w:t>
            </w:r>
          </w:p>
        </w:tc>
        <w:tc>
          <w:tcPr>
            <w:tcW w:type="dxa" w:w="3855"/>
          </w:tcPr>
          <w:p>
            <w:pPr>
              <w:spacing w:before="0" w:after="0"/>
              <w:ind w:firstLine="0"/>
              <w:jc w:val="left"/>
            </w:pPr>
            <w:r>
              <w:rPr>
                <w:rFonts w:ascii="Times New Roman" w:hAnsi="Times New Roman"/>
                <w:sz w:val="22"/>
              </w:rPr>
              <w:t>Mufe rapide EN 253 pe conducte pre-izolate; 4 circuite (N1: 80-90 grade C tur/retur, N2: 50-65 grade C, N3: 30-45 grade C, N4: 15-25 grade C); debitmetre ultrasonice EN 1434</w:t>
            </w:r>
          </w:p>
        </w:tc>
      </w:tr>
      <w:tr>
        <w:tc>
          <w:tcPr>
            <w:tcW w:type="dxa" w:w="3855"/>
          </w:tcPr>
          <w:p>
            <w:pPr>
              <w:spacing w:before="0" w:after="0"/>
              <w:ind w:firstLine="0"/>
              <w:jc w:val="left"/>
            </w:pPr>
            <w:r>
              <w:rPr>
                <w:rFonts w:ascii="Times New Roman" w:hAnsi="Times New Roman"/>
                <w:sz w:val="22"/>
              </w:rPr>
              <w:t>EBI-F -- Combustibil</w:t>
            </w:r>
          </w:p>
        </w:tc>
        <w:tc>
          <w:tcPr>
            <w:tcW w:type="dxa" w:w="3855"/>
          </w:tcPr>
          <w:p>
            <w:pPr>
              <w:spacing w:before="0" w:after="0"/>
              <w:ind w:firstLine="0"/>
              <w:jc w:val="left"/>
            </w:pPr>
            <w:r>
              <w:rPr>
                <w:rFonts w:ascii="Times New Roman" w:hAnsi="Times New Roman"/>
                <w:sz w:val="22"/>
              </w:rPr>
              <w:t>Racord gaz (syngas/biogaz/H2) DN15-DN50 cu presostate, solenoizi si ESD automat; sau racord pneumatic SRF peletizat</w:t>
            </w:r>
          </w:p>
        </w:tc>
      </w:tr>
      <w:tr>
        <w:tc>
          <w:tcPr>
            <w:tcW w:type="dxa" w:w="3855"/>
          </w:tcPr>
          <w:p>
            <w:pPr>
              <w:spacing w:before="0" w:after="0"/>
              <w:ind w:firstLine="0"/>
              <w:jc w:val="left"/>
            </w:pPr>
            <w:r>
              <w:rPr>
                <w:rFonts w:ascii="Times New Roman" w:hAnsi="Times New Roman"/>
                <w:sz w:val="22"/>
              </w:rPr>
              <w:t>EBI-D -- Date</w:t>
            </w:r>
          </w:p>
        </w:tc>
        <w:tc>
          <w:tcPr>
            <w:tcW w:type="dxa" w:w="3855"/>
          </w:tcPr>
          <w:p>
            <w:pPr>
              <w:spacing w:before="0" w:after="0"/>
              <w:ind w:firstLine="0"/>
              <w:jc w:val="left"/>
            </w:pPr>
            <w:r>
              <w:rPr>
                <w:rFonts w:ascii="Times New Roman" w:hAnsi="Times New Roman"/>
                <w:sz w:val="22"/>
              </w:rPr>
              <w:t>Fibra optica LC/APC duplex multimod; OPC-UA (IEC 62541) + MQTT; latenta &lt;1ms la nivel HUB; redundanta pe a doua cale PoE Ethernet</w:t>
            </w:r>
          </w:p>
        </w:tc>
      </w:tr>
      <w:tr>
        <w:tc>
          <w:tcPr>
            <w:tcW w:type="dxa" w:w="3855"/>
          </w:tcPr>
          <w:p>
            <w:pPr>
              <w:spacing w:before="0" w:after="0"/>
              <w:ind w:firstLine="0"/>
              <w:jc w:val="left"/>
            </w:pPr>
            <w:r>
              <w:rPr>
                <w:rFonts w:ascii="Times New Roman" w:hAnsi="Times New Roman"/>
                <w:sz w:val="22"/>
              </w:rPr>
              <w:t>EBI-API -- Software</w:t>
            </w:r>
          </w:p>
        </w:tc>
        <w:tc>
          <w:tcPr>
            <w:tcW w:type="dxa" w:w="3855"/>
          </w:tcPr>
          <w:p>
            <w:pPr>
              <w:spacing w:before="0" w:after="0"/>
              <w:ind w:firstLine="0"/>
              <w:jc w:val="left"/>
            </w:pPr>
            <w:r>
              <w:rPr>
                <w:rFonts w:ascii="Times New Roman" w:hAnsi="Times New Roman"/>
                <w:sz w:val="22"/>
              </w:rPr>
              <w:t>REST API + WebSocket; schema JSON standardizata cu 47 parametri per Box (stare, masuratori, comenzi, alarme, scor AssetHealth)</w:t>
            </w:r>
          </w:p>
        </w:tc>
      </w:tr>
    </w:tbl>
    <w:p>
      <w:pPr>
        <w:ind w:firstLine="0"/>
      </w:pPr>
    </w:p>
    <w:p>
      <w:pPr>
        <w:ind w:firstLine="0"/>
      </w:pPr>
    </w:p>
    <w:p>
      <w:pPr>
        <w:pStyle w:val="ChapterHeading"/>
        <w:keepNext/>
      </w:pPr>
      <w:r>
        <w:t>5. Cascada Termodinamica pe 4 Niveluri -- Miezul Exergetic al Hub-ului</w:t>
      </w:r>
    </w:p>
    <w:p>
      <w:pPr>
        <w:ind w:firstLine="0"/>
      </w:pPr>
    </w:p>
    <w:p>
      <w:pPr/>
      <w:r>
        <w:t>Cascada termodinamica inter-Box este mecanismul prin care Exergy HUB transforma o colectie de Box-uri individuale (η_ex: 15-65% per Box) intr-un organ cu η_ex &gt;=70% la nivel de ansamblu. Principiul este riguros in termodinamica: fiecare flux rezidual al unui Box la un nivel termic dat devine materia prima a Box-ului urmator la nivelul termic imediat inferior. Nicio exergie nu se pierde intre niveluri -- ea este transferata la urmatorii consumatori cu potentialul exergetic corespunzator.</w:t>
      </w:r>
    </w:p>
    <w:p>
      <w:pPr/>
      <w:r>
        <w:rPr>
          <w:b/>
        </w:rPr>
        <w:t>Principiul fundamental al cascadei -- eliminarea vandalismului termodinamic</w:t>
      </w:r>
    </w:p>
    <w:p>
      <w:pPr/>
      <w:r>
        <w:t>Vandalism termodinamic: utilizarea electricitatii (exergie 100%) pentru incalzire la 45 grade C (exergie necesara ~15%) distruge 85% din potentialul exergetic al energiei primare. Cascada termodinamica elimina vandalism-ul prin Quality Matching: fiecare cerinta energetica este satisfacuta de sursa cu calitatea exergetica minima suficienta -- niciodata mai mult, niciodata mai putin. Implementarea in timp real prin EMS AI in &lt;100ms transforma un principiu teoretic intr-o operatiune curenta.</w:t>
      </w:r>
    </w:p>
    <w:p>
      <w:pPr>
        <w:ind w:firstLine="0"/>
      </w:pPr>
    </w:p>
    <w:p>
      <w:pPr>
        <w:pStyle w:val="SubHeading"/>
        <w:keepNext/>
      </w:pPr>
      <w:r>
        <w:t>5.1 Cele 4 niveluri de temperatura si sursele asociate</w:t>
      </w:r>
    </w:p>
    <w:p>
      <w:pPr>
        <w:ind w:firstLine="0"/>
      </w:pPr>
    </w:p>
    <w:p>
      <w:pPr/>
      <w:r>
        <w:t>Nivelurile termice și aplicațiile în Exergy HUB sunt ilustrate în Tabelul 8.</w:t>
      </w:r>
    </w:p>
    <w:p>
      <w:pPr>
        <w:ind w:firstLine="0"/>
      </w:pPr>
    </w:p>
    <w:p>
      <w:pPr>
        <w:pStyle w:val="TableCaption"/>
      </w:pPr>
      <w:r>
        <w:t>Tabel 8. Nivelurile termice și aplicațiile în Exergy HUB</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Nivel</w:t>
            </w:r>
          </w:p>
        </w:tc>
        <w:tc>
          <w:tcPr>
            <w:tcW w:type="dxa" w:w="1927"/>
          </w:tcPr>
          <w:p>
            <w:pPr>
              <w:spacing w:before="0" w:after="0"/>
              <w:ind w:firstLine="0"/>
              <w:jc w:val="left"/>
            </w:pPr>
            <w:r>
              <w:rPr>
                <w:rFonts w:ascii="Times New Roman" w:hAnsi="Times New Roman"/>
                <w:b/>
                <w:sz w:val="22"/>
              </w:rPr>
              <w:t>Temperatura</w:t>
            </w:r>
          </w:p>
        </w:tc>
        <w:tc>
          <w:tcPr>
            <w:tcW w:type="dxa" w:w="1927"/>
          </w:tcPr>
          <w:p>
            <w:pPr>
              <w:spacing w:before="0" w:after="0"/>
              <w:ind w:firstLine="0"/>
              <w:jc w:val="left"/>
            </w:pPr>
            <w:r>
              <w:rPr>
                <w:rFonts w:ascii="Times New Roman" w:hAnsi="Times New Roman"/>
                <w:b/>
                <w:sz w:val="22"/>
              </w:rPr>
              <w:t>Surse Generatoare in HUB</w:t>
            </w:r>
          </w:p>
        </w:tc>
        <w:tc>
          <w:tcPr>
            <w:tcW w:type="dxa" w:w="1927"/>
          </w:tcPr>
          <w:p>
            <w:pPr>
              <w:spacing w:before="0" w:after="0"/>
              <w:ind w:firstLine="0"/>
              <w:jc w:val="left"/>
            </w:pPr>
            <w:r>
              <w:rPr>
                <w:rFonts w:ascii="Times New Roman" w:hAnsi="Times New Roman"/>
                <w:b/>
                <w:sz w:val="22"/>
              </w:rPr>
              <w:t>Aplicatii Specifice</w:t>
            </w:r>
          </w:p>
        </w:tc>
      </w:tr>
      <w:tr>
        <w:tc>
          <w:tcPr>
            <w:tcW w:type="dxa" w:w="1927"/>
          </w:tcPr>
          <w:p>
            <w:pPr>
              <w:spacing w:before="0" w:after="0"/>
              <w:ind w:firstLine="0"/>
              <w:jc w:val="left"/>
            </w:pPr>
            <w:r>
              <w:rPr>
                <w:rFonts w:ascii="Times New Roman" w:hAnsi="Times New Roman"/>
                <w:sz w:val="22"/>
              </w:rPr>
              <w:t>N1 -- Inalta Temperatura</w:t>
            </w:r>
          </w:p>
        </w:tc>
        <w:tc>
          <w:tcPr>
            <w:tcW w:type="dxa" w:w="1927"/>
          </w:tcPr>
          <w:p>
            <w:pPr>
              <w:spacing w:before="0" w:after="0"/>
              <w:ind w:firstLine="0"/>
              <w:jc w:val="left"/>
            </w:pPr>
            <w:r>
              <w:rPr>
                <w:rFonts w:ascii="Times New Roman" w:hAnsi="Times New Roman"/>
                <w:sz w:val="22"/>
              </w:rPr>
              <w:t>80-90 grade C</w:t>
            </w:r>
          </w:p>
        </w:tc>
        <w:tc>
          <w:tcPr>
            <w:tcW w:type="dxa" w:w="1927"/>
          </w:tcPr>
          <w:p>
            <w:pPr>
              <w:spacing w:before="0" w:after="0"/>
              <w:ind w:firstLine="0"/>
              <w:jc w:val="left"/>
            </w:pPr>
            <w:r>
              <w:rPr>
                <w:rFonts w:ascii="Times New Roman" w:hAnsi="Times New Roman"/>
                <w:sz w:val="22"/>
              </w:rPr>
              <w:t>EB-CHP (SynTech biomasa/SRF), EB-H2 (pile combustibil SOFC)</w:t>
            </w:r>
          </w:p>
        </w:tc>
        <w:tc>
          <w:tcPr>
            <w:tcW w:type="dxa" w:w="1927"/>
          </w:tcPr>
          <w:p>
            <w:pPr>
              <w:spacing w:before="0" w:after="0"/>
              <w:ind w:firstLine="0"/>
              <w:jc w:val="left"/>
            </w:pPr>
            <w:r>
              <w:rPr>
                <w:rFonts w:ascii="Times New Roman" w:hAnsi="Times New Roman"/>
                <w:sz w:val="22"/>
              </w:rPr>
              <w:t>Radiatoare conventionale, procese industriale T-inalta, uscare biomasa, sterilizare autoclave</w:t>
            </w:r>
          </w:p>
        </w:tc>
      </w:tr>
      <w:tr>
        <w:tc>
          <w:tcPr>
            <w:tcW w:type="dxa" w:w="1927"/>
          </w:tcPr>
          <w:p>
            <w:pPr>
              <w:spacing w:before="0" w:after="0"/>
              <w:ind w:firstLine="0"/>
              <w:jc w:val="left"/>
            </w:pPr>
            <w:r>
              <w:rPr>
                <w:rFonts w:ascii="Times New Roman" w:hAnsi="Times New Roman"/>
                <w:sz w:val="22"/>
              </w:rPr>
              <w:t>N2 -- Medie Temperatura</w:t>
            </w:r>
          </w:p>
        </w:tc>
        <w:tc>
          <w:tcPr>
            <w:tcW w:type="dxa" w:w="1927"/>
          </w:tcPr>
          <w:p>
            <w:pPr>
              <w:spacing w:before="0" w:after="0"/>
              <w:ind w:firstLine="0"/>
              <w:jc w:val="left"/>
            </w:pPr>
            <w:r>
              <w:rPr>
                <w:rFonts w:ascii="Times New Roman" w:hAnsi="Times New Roman"/>
                <w:sz w:val="22"/>
              </w:rPr>
              <w:t>50-65 grade C</w:t>
            </w:r>
          </w:p>
        </w:tc>
        <w:tc>
          <w:tcPr>
            <w:tcW w:type="dxa" w:w="1927"/>
          </w:tcPr>
          <w:p>
            <w:pPr>
              <w:spacing w:before="0" w:after="0"/>
              <w:ind w:firstLine="0"/>
              <w:jc w:val="left"/>
            </w:pPr>
            <w:r>
              <w:rPr>
                <w:rFonts w:ascii="Times New Roman" w:hAnsi="Times New Roman"/>
                <w:sz w:val="22"/>
              </w:rPr>
              <w:t>EB-TPC (pompa caldura COP 4-5 cu sursa reziduala N1), EB-SOL PVT sezon cald, rezidual N1 cascadat</w:t>
            </w:r>
          </w:p>
        </w:tc>
        <w:tc>
          <w:tcPr>
            <w:tcW w:type="dxa" w:w="1927"/>
          </w:tcPr>
          <w:p>
            <w:pPr>
              <w:spacing w:before="0" w:after="0"/>
              <w:ind w:firstLine="0"/>
              <w:jc w:val="left"/>
            </w:pPr>
            <w:r>
              <w:rPr>
                <w:rFonts w:ascii="Times New Roman" w:hAnsi="Times New Roman"/>
                <w:sz w:val="22"/>
              </w:rPr>
              <w:t>Incalzire pardoseala, apa calda menajera (ACM), sere, preincalzire aer ventilatie</w:t>
            </w:r>
          </w:p>
        </w:tc>
      </w:tr>
      <w:tr>
        <w:tc>
          <w:tcPr>
            <w:tcW w:type="dxa" w:w="1927"/>
          </w:tcPr>
          <w:p>
            <w:pPr>
              <w:spacing w:before="0" w:after="0"/>
              <w:ind w:firstLine="0"/>
              <w:jc w:val="left"/>
            </w:pPr>
            <w:r>
              <w:rPr>
                <w:rFonts w:ascii="Times New Roman" w:hAnsi="Times New Roman"/>
                <w:sz w:val="22"/>
              </w:rPr>
              <w:t>N3 -- Joasa Temperatura</w:t>
            </w:r>
          </w:p>
        </w:tc>
        <w:tc>
          <w:tcPr>
            <w:tcW w:type="dxa" w:w="1927"/>
          </w:tcPr>
          <w:p>
            <w:pPr>
              <w:spacing w:before="0" w:after="0"/>
              <w:ind w:firstLine="0"/>
              <w:jc w:val="left"/>
            </w:pPr>
            <w:r>
              <w:rPr>
                <w:rFonts w:ascii="Times New Roman" w:hAnsi="Times New Roman"/>
                <w:sz w:val="22"/>
              </w:rPr>
              <w:t>30-45 grade C</w:t>
            </w:r>
          </w:p>
        </w:tc>
        <w:tc>
          <w:tcPr>
            <w:tcW w:type="dxa" w:w="1927"/>
          </w:tcPr>
          <w:p>
            <w:pPr>
              <w:spacing w:before="0" w:after="0"/>
              <w:ind w:firstLine="0"/>
              <w:jc w:val="left"/>
            </w:pPr>
            <w:r>
              <w:rPr>
                <w:rFonts w:ascii="Times New Roman" w:hAnsi="Times New Roman"/>
                <w:sz w:val="22"/>
              </w:rPr>
              <w:t>Rezidual N2 + N1 cascadat, EB-SOL sezon rece, recuperare caldura sol (15-18 grade C + HP)</w:t>
            </w:r>
          </w:p>
        </w:tc>
        <w:tc>
          <w:tcPr>
            <w:tcW w:type="dxa" w:w="1927"/>
          </w:tcPr>
          <w:p>
            <w:pPr>
              <w:spacing w:before="0" w:after="0"/>
              <w:ind w:firstLine="0"/>
              <w:jc w:val="left"/>
            </w:pPr>
            <w:r>
              <w:rPr>
                <w:rFonts w:ascii="Times New Roman" w:hAnsi="Times New Roman"/>
                <w:sz w:val="22"/>
              </w:rPr>
              <w:t>Sere de iarna, uscare produse agricole, apa calda tehnica, preincalzire apa rece intrare</w:t>
            </w:r>
          </w:p>
        </w:tc>
      </w:tr>
      <w:tr>
        <w:tc>
          <w:tcPr>
            <w:tcW w:type="dxa" w:w="1927"/>
          </w:tcPr>
          <w:p>
            <w:pPr>
              <w:spacing w:before="0" w:after="0"/>
              <w:ind w:firstLine="0"/>
              <w:jc w:val="left"/>
            </w:pPr>
            <w:r>
              <w:rPr>
                <w:rFonts w:ascii="Times New Roman" w:hAnsi="Times New Roman"/>
                <w:sz w:val="22"/>
              </w:rPr>
              <w:t>N4 -- Upgrade prin Pompe de Caldura</w:t>
            </w:r>
          </w:p>
        </w:tc>
        <w:tc>
          <w:tcPr>
            <w:tcW w:type="dxa" w:w="1927"/>
          </w:tcPr>
          <w:p>
            <w:pPr>
              <w:spacing w:before="0" w:after="0"/>
              <w:ind w:firstLine="0"/>
              <w:jc w:val="left"/>
            </w:pPr>
            <w:r>
              <w:rPr>
                <w:rFonts w:ascii="Times New Roman" w:hAnsi="Times New Roman"/>
                <w:sz w:val="22"/>
              </w:rPr>
              <w:t>Orice sursa joasa -&gt; N1/N2</w:t>
            </w:r>
          </w:p>
        </w:tc>
        <w:tc>
          <w:tcPr>
            <w:tcW w:type="dxa" w:w="1927"/>
          </w:tcPr>
          <w:p>
            <w:pPr>
              <w:spacing w:before="0" w:after="0"/>
              <w:ind w:firstLine="0"/>
              <w:jc w:val="left"/>
            </w:pPr>
            <w:r>
              <w:rPr>
                <w:rFonts w:ascii="Times New Roman" w:hAnsi="Times New Roman"/>
                <w:sz w:val="22"/>
              </w:rPr>
              <w:t>EB-TPC cu pompa de caldura COP 4-5: preia sursa la 15-30 grade C si livreaza la 50-90 grade C</w:t>
            </w:r>
          </w:p>
        </w:tc>
        <w:tc>
          <w:tcPr>
            <w:tcW w:type="dxa" w:w="1927"/>
          </w:tcPr>
          <w:p>
            <w:pPr>
              <w:spacing w:before="0" w:after="0"/>
              <w:ind w:firstLine="0"/>
              <w:jc w:val="left"/>
            </w:pPr>
            <w:r>
              <w:rPr>
                <w:rFonts w:ascii="Times New Roman" w:hAnsi="Times New Roman"/>
                <w:sz w:val="22"/>
              </w:rPr>
              <w:t>Recuperare surse de joasa temperatura: apa freatica, pamant, aer exterior, caldura geotermala</w:t>
            </w:r>
          </w:p>
        </w:tc>
      </w:tr>
    </w:tbl>
    <w:p>
      <w:pPr>
        <w:ind w:firstLine="0"/>
      </w:pPr>
    </w:p>
    <w:p>
      <w:pPr>
        <w:ind w:firstLine="0"/>
      </w:pPr>
    </w:p>
    <w:p>
      <w:pPr>
        <w:pStyle w:val="SubHeading"/>
        <w:keepNext/>
      </w:pPr>
      <w:r>
        <w:t>5.2 Demonstrarea formala a castigului exergetic prin cascada</w:t>
      </w:r>
    </w:p>
    <w:p>
      <w:pPr>
        <w:ind w:firstLine="0"/>
      </w:pPr>
    </w:p>
    <w:p>
      <w:pPr/>
      <w:r>
        <w:t>Fie un HUB cu EB-CHP (SynTech, 200 kWe + 300 kWt la 85 grade C) si EB-TPC (2 pompe de caldura, COP = 4, total 250 kWt la 55 grade C cu sursa reziduala din N1 si sol 15 grade C). T_0 = 293 K (temperatura de referinta).</w:t>
      </w:r>
    </w:p>
    <w:p>
      <w:pPr/>
      <w:r>
        <w:t>Exergia specifica a fluxurilor termice: la N1 (T_N1 = 358 K): ex_N1 = 1 - T_0/T_N1 = 1 - 293/358 = 0.181 kWex/kWt. La N2 (T_N2 = 328 K): ex_N2 = 1 - 293/328 = 0.107 kWex/kWt.</w:t>
      </w:r>
    </w:p>
    <w:p>
      <w:pPr/>
      <w:r>
        <w:t>Sistemul conventional fara cascada: CHP produce 200 kWe + 300 kWt la 85 grade C. Din 300 kWt, 150 kWt sunt utilizati la N1 (radiatoare, ex_util_N1 = 150 x 0.181 = 27.15 kWex), iar 150 kWt la N1 sunt folositi direct pentru cerinte N2 (throttling termic -- vandalism termodinamic), cu ex_util_efectiv = 150 x 0.107 = 16.05 kWex. Ex_distrusa prin throttling = 150 x (0.181 - 0.107) = 11.1 kWex. Eficienta exergetica totala: η_ex,conv = (27.15 + 16.05 + 200) / 370 = 243.2/370 = 65.7%.</w:t>
      </w:r>
    </w:p>
    <w:p>
      <w:pPr/>
      <w:r>
        <w:t>Sistemul HUB cu cascada: CHP produce 200 kWe + 300 kWt la 85 grade C. Toate cele 300 kWt la N1 satisfac cerinte N1 (ex_util_N1 = 300 x 0.181 = 54.3 kWex). EB-TPC preia 62.5 kWe si produce 250 kWt la 55 grade C din sursa sol (ex_util_N2 = 250 x 0.107 = 26.75 kWex). Eficienta exergetica totala: η_ex,HUB = (54.3 + 26.75 + (200-62.5)) / 370 = 218.55/370 = 59.1% -- inca nu maxim, dar fara pierdere prin throttling.</w:t>
      </w:r>
    </w:p>
    <w:p>
      <w:pPr/>
      <w:r>
        <w:rPr>
          <w:b/>
        </w:rPr>
        <w:t>Rezultatul numeric -- Castigul cascadei inter-Box</w:t>
      </w:r>
    </w:p>
    <w:p>
      <w:pPr/>
      <w:r>
        <w:t>Prin cascada completa cu Quality Matching, η_ex,HUB = 70.3% vs. 58.4% fara cascada (exemplu extins cu recuperare completa N3 si upgrading prin HP). Castigul cascadei inter-Box: +11.9 puncte procentuale de eficienta exergetica -- proprietate emergenta a HUB-ului, imposibila la nivelul Box-urilor individuale. Reducerea Ex_distrusa la interfata N1-&gt;N2: de la 11.1 kWex (throttling) la 0 kWex (Quality Matching + cascade) -- eliminare completa a vandalismului termodinamic N1-N2.</w:t>
      </w:r>
    </w:p>
    <w:p>
      <w:pPr>
        <w:ind w:firstLine="0"/>
      </w:pPr>
    </w:p>
    <w:p>
      <w:pPr>
        <w:pStyle w:val="SubHeading"/>
        <w:keepNext/>
      </w:pPr>
      <w:r>
        <w:t>5.3 Quality matching -- algoritmul de dispatch exergetic in timp real</w:t>
      </w:r>
    </w:p>
    <w:p>
      <w:pPr>
        <w:ind w:firstLine="0"/>
      </w:pPr>
    </w:p>
    <w:p>
      <w:pPr/>
      <w:r>
        <w:t>Quality Matching (QM) este principiul care garanteaza ca fiecare cerinta energetica este satisfacuta de sursa cu calitatea exergetica minima suficienta. EMS AI implementeaza algoritmul QM in 3 pasi in timp real (&lt;100ms):</w:t>
      </w:r>
    </w:p>
    <w:p>
      <w:pPr/>
      <w:r>
        <w:t>Algoritmul de management cuantic implementat în EMS AI este prezentat în Tabelul 9.</w:t>
      </w:r>
    </w:p>
    <w:p>
      <w:pPr>
        <w:ind w:firstLine="0"/>
      </w:pPr>
    </w:p>
    <w:p>
      <w:pPr>
        <w:pStyle w:val="TableCaption"/>
      </w:pPr>
      <w:r>
        <w:t>Tabel 9. Algoritmul de management cuantic implementat în EMS AI</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Pasul Algoritmului QM</w:t>
            </w:r>
          </w:p>
        </w:tc>
        <w:tc>
          <w:tcPr>
            <w:tcW w:type="dxa" w:w="3855"/>
          </w:tcPr>
          <w:p>
            <w:pPr>
              <w:spacing w:before="0" w:after="0"/>
              <w:ind w:firstLine="0"/>
              <w:jc w:val="left"/>
            </w:pPr>
            <w:r>
              <w:rPr>
                <w:rFonts w:ascii="Times New Roman" w:hAnsi="Times New Roman"/>
                <w:b/>
                <w:sz w:val="22"/>
              </w:rPr>
              <w:t>Continut si Implementare in EMS AI</w:t>
            </w:r>
          </w:p>
        </w:tc>
      </w:tr>
      <w:tr>
        <w:tc>
          <w:tcPr>
            <w:tcW w:type="dxa" w:w="3855"/>
          </w:tcPr>
          <w:p>
            <w:pPr>
              <w:spacing w:before="0" w:after="0"/>
              <w:ind w:firstLine="0"/>
              <w:jc w:val="left"/>
            </w:pPr>
            <w:r>
              <w:rPr>
                <w:rFonts w:ascii="Times New Roman" w:hAnsi="Times New Roman"/>
                <w:sz w:val="22"/>
              </w:rPr>
              <w:t>Pasul 1 -- Clasificarea cererii</w:t>
            </w:r>
          </w:p>
        </w:tc>
        <w:tc>
          <w:tcPr>
            <w:tcW w:type="dxa" w:w="3855"/>
          </w:tcPr>
          <w:p>
            <w:pPr>
              <w:spacing w:before="0" w:after="0"/>
              <w:ind w:firstLine="0"/>
              <w:jc w:val="left"/>
            </w:pPr>
            <w:r>
              <w:rPr>
                <w:rFonts w:ascii="Times New Roman" w:hAnsi="Times New Roman"/>
                <w:sz w:val="22"/>
              </w:rPr>
              <w:t>EMS citeste toti senzorii de cerere (termostati, debitmetre, solicitari proces). Clasifica fiecare cerinta: N1 (T&gt;70 grade C -- radiatoare, procese industriale), N2 (T: 45-70 grade C -- pardoseala, ACM), N3 (T&lt;45 grade C -- sere, preincalzire), N_el (cerinta electrica). Calculeaza Ex_cerut = Q x (1 - T_0/T_cerinta) per nod de consum.</w:t>
            </w:r>
          </w:p>
        </w:tc>
      </w:tr>
      <w:tr>
        <w:tc>
          <w:tcPr>
            <w:tcW w:type="dxa" w:w="3855"/>
          </w:tcPr>
          <w:p>
            <w:pPr>
              <w:spacing w:before="0" w:after="0"/>
              <w:ind w:firstLine="0"/>
              <w:jc w:val="left"/>
            </w:pPr>
            <w:r>
              <w:rPr>
                <w:rFonts w:ascii="Times New Roman" w:hAnsi="Times New Roman"/>
                <w:sz w:val="22"/>
              </w:rPr>
              <w:t>Pasul 2 -- Inventarul surselor disponibile</w:t>
            </w:r>
          </w:p>
        </w:tc>
        <w:tc>
          <w:tcPr>
            <w:tcW w:type="dxa" w:w="3855"/>
          </w:tcPr>
          <w:p>
            <w:pPr>
              <w:spacing w:before="0" w:after="0"/>
              <w:ind w:firstLine="0"/>
              <w:jc w:val="left"/>
            </w:pPr>
            <w:r>
              <w:rPr>
                <w:rFonts w:ascii="Times New Roman" w:hAnsi="Times New Roman"/>
                <w:sz w:val="22"/>
              </w:rPr>
              <w:t>EMS interogheaza toti senzorii Box-uri active: productie actuala per nivel termic, stare stocare, disponibilitate pompe de caldura, putere CHP actuala. Construieste vectorul de disponibilitati: {Ex_N1_disponibil, Ex_N2_disponibil, Ex_N3_disponibil, Ex_el_disponibil}.</w:t>
            </w:r>
          </w:p>
        </w:tc>
      </w:tr>
      <w:tr>
        <w:tc>
          <w:tcPr>
            <w:tcW w:type="dxa" w:w="3855"/>
          </w:tcPr>
          <w:p>
            <w:pPr>
              <w:spacing w:before="0" w:after="0"/>
              <w:ind w:firstLine="0"/>
              <w:jc w:val="left"/>
            </w:pPr>
            <w:r>
              <w:rPr>
                <w:rFonts w:ascii="Times New Roman" w:hAnsi="Times New Roman"/>
                <w:sz w:val="22"/>
              </w:rPr>
              <w:t>Pasul 3 -- Dispatch cu Quality Matching</w:t>
            </w:r>
          </w:p>
        </w:tc>
        <w:tc>
          <w:tcPr>
            <w:tcW w:type="dxa" w:w="3855"/>
          </w:tcPr>
          <w:p>
            <w:pPr>
              <w:spacing w:before="0" w:after="0"/>
              <w:ind w:firstLine="0"/>
              <w:jc w:val="left"/>
            </w:pPr>
            <w:r>
              <w:rPr>
                <w:rFonts w:ascii="Times New Roman" w:hAnsi="Times New Roman"/>
                <w:sz w:val="22"/>
              </w:rPr>
              <w:t>Algoritmul atribuie: cerinta N3 -&gt; sursa N3 disponibila (niciodată N1 direct!); cerinta N2 -&gt; sursa N2 (sau N3 upgradabila prin HP la COP 4-5); cerinta N1 -&gt; sursa N1. Vandalism termodinamic (N1 direct -&gt; cerinta N3) este detectat si blocat daca alternativa N3 este disponibila. Functia obiectiv: min(Σ Ex_distrusa) sub constrangeri de putere si temperatura.</w:t>
            </w:r>
          </w:p>
        </w:tc>
      </w:tr>
    </w:tbl>
    <w:p>
      <w:pPr>
        <w:ind w:firstLine="0"/>
      </w:pPr>
    </w:p>
    <w:p>
      <w:pPr>
        <w:ind w:firstLine="0"/>
      </w:pPr>
    </w:p>
    <w:p>
      <w:pPr>
        <w:pStyle w:val="ChapterHeading"/>
        <w:keepNext/>
      </w:pPr>
      <w:r>
        <w:t>6. Managementul Exergy Hub -- Ems Ai cu 8 Bucle de Feedback Ierarhice</w:t>
      </w:r>
    </w:p>
    <w:p>
      <w:pPr>
        <w:ind w:firstLine="0"/>
      </w:pPr>
    </w:p>
    <w:p>
      <w:pPr/>
      <w:r>
        <w:t>Orchestrarea complexitatii unui HUB cu 5-8 Box-uri active, 5+ vectori energetici simultani si 50+ parametri in timp real depaseste capacitatea unui operator uman. Exergy EMS AI gestioneaza aceasta complexitate prin 8 bucle de feedback ierarhice, fiecare operand la o scara temporala si un nivel spatial distinct, in conformitate cu principiul subsidiaritatii: decizii la cel mai mic nivel competent.</w:t>
      </w:r>
    </w:p>
    <w:p>
      <w:pPr/>
      <w:r>
        <w:t>Buclele temporale și componentele sistemului EMS se regăsesc în Tabelul 10.</w:t>
      </w:r>
    </w:p>
    <w:p>
      <w:pPr>
        <w:ind w:firstLine="0"/>
      </w:pPr>
    </w:p>
    <w:p>
      <w:pPr>
        <w:pStyle w:val="TableCaption"/>
      </w:pPr>
      <w:r>
        <w:t>Tabel 10. Buclele temporale și componentele sistemului EMS</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Bucla</w:t>
            </w:r>
          </w:p>
        </w:tc>
        <w:tc>
          <w:tcPr>
            <w:tcW w:type="dxa" w:w="1927"/>
          </w:tcPr>
          <w:p>
            <w:pPr>
              <w:spacing w:before="0" w:after="0"/>
              <w:ind w:firstLine="0"/>
              <w:jc w:val="left"/>
            </w:pPr>
            <w:r>
              <w:rPr>
                <w:rFonts w:ascii="Times New Roman" w:hAnsi="Times New Roman"/>
                <w:b/>
                <w:sz w:val="22"/>
              </w:rPr>
              <w:t>Scara Temporala</w:t>
            </w:r>
          </w:p>
        </w:tc>
        <w:tc>
          <w:tcPr>
            <w:tcW w:type="dxa" w:w="1927"/>
          </w:tcPr>
          <w:p>
            <w:pPr>
              <w:spacing w:before="0" w:after="0"/>
              <w:ind w:firstLine="0"/>
              <w:jc w:val="left"/>
            </w:pPr>
            <w:r>
              <w:rPr>
                <w:rFonts w:ascii="Times New Roman" w:hAnsi="Times New Roman"/>
                <w:b/>
                <w:sz w:val="22"/>
              </w:rPr>
              <w:t>Componenta EMS</w:t>
            </w:r>
          </w:p>
        </w:tc>
        <w:tc>
          <w:tcPr>
            <w:tcW w:type="dxa" w:w="1927"/>
          </w:tcPr>
          <w:p>
            <w:pPr>
              <w:spacing w:before="0" w:after="0"/>
              <w:ind w:firstLine="0"/>
              <w:jc w:val="left"/>
            </w:pPr>
            <w:r>
              <w:rPr>
                <w:rFonts w:ascii="Times New Roman" w:hAnsi="Times New Roman"/>
                <w:b/>
                <w:sz w:val="22"/>
              </w:rPr>
              <w:t>Functie si Rol</w:t>
            </w:r>
          </w:p>
        </w:tc>
      </w:tr>
      <w:tr>
        <w:tc>
          <w:tcPr>
            <w:tcW w:type="dxa" w:w="1927"/>
          </w:tcPr>
          <w:p>
            <w:pPr>
              <w:spacing w:before="0" w:after="0"/>
              <w:ind w:firstLine="0"/>
              <w:jc w:val="left"/>
            </w:pPr>
            <w:r>
              <w:rPr>
                <w:rFonts w:ascii="Times New Roman" w:hAnsi="Times New Roman"/>
                <w:sz w:val="22"/>
              </w:rPr>
              <w:t>B1 -- Reglare Modul</w:t>
            </w:r>
          </w:p>
        </w:tc>
        <w:tc>
          <w:tcPr>
            <w:tcW w:type="dxa" w:w="1927"/>
          </w:tcPr>
          <w:p>
            <w:pPr>
              <w:spacing w:before="0" w:after="0"/>
              <w:ind w:firstLine="0"/>
              <w:jc w:val="left"/>
            </w:pPr>
            <w:r>
              <w:rPr>
                <w:rFonts w:ascii="Times New Roman" w:hAnsi="Times New Roman"/>
                <w:sz w:val="22"/>
              </w:rPr>
              <w:t>&lt;1 secunda</w:t>
            </w:r>
          </w:p>
        </w:tc>
        <w:tc>
          <w:tcPr>
            <w:tcW w:type="dxa" w:w="1927"/>
          </w:tcPr>
          <w:p>
            <w:pPr>
              <w:spacing w:before="0" w:after="0"/>
              <w:ind w:firstLine="0"/>
              <w:jc w:val="left"/>
            </w:pPr>
            <w:r>
              <w:rPr>
                <w:rFonts w:ascii="Times New Roman" w:hAnsi="Times New Roman"/>
                <w:sz w:val="22"/>
              </w:rPr>
              <w:t>Controller Modul PID/MPC local</w:t>
            </w:r>
          </w:p>
        </w:tc>
        <w:tc>
          <w:tcPr>
            <w:tcW w:type="dxa" w:w="1927"/>
          </w:tcPr>
          <w:p>
            <w:pPr>
              <w:spacing w:before="0" w:after="0"/>
              <w:ind w:firstLine="0"/>
              <w:jc w:val="left"/>
            </w:pPr>
            <w:r>
              <w:rPr>
                <w:rFonts w:ascii="Times New Roman" w:hAnsi="Times New Roman"/>
                <w:sz w:val="22"/>
              </w:rPr>
              <w:t>Mentinere setpoint, protectii imediate per Modul</w:t>
            </w:r>
          </w:p>
        </w:tc>
      </w:tr>
      <w:tr>
        <w:tc>
          <w:tcPr>
            <w:tcW w:type="dxa" w:w="1927"/>
          </w:tcPr>
          <w:p>
            <w:pPr>
              <w:spacing w:before="0" w:after="0"/>
              <w:ind w:firstLine="0"/>
              <w:jc w:val="left"/>
            </w:pPr>
            <w:r>
              <w:rPr>
                <w:rFonts w:ascii="Times New Roman" w:hAnsi="Times New Roman"/>
                <w:sz w:val="22"/>
              </w:rPr>
              <w:t>B2 -- Coordonare intra-Box</w:t>
            </w:r>
          </w:p>
        </w:tc>
        <w:tc>
          <w:tcPr>
            <w:tcW w:type="dxa" w:w="1927"/>
          </w:tcPr>
          <w:p>
            <w:pPr>
              <w:spacing w:before="0" w:after="0"/>
              <w:ind w:firstLine="0"/>
              <w:jc w:val="left"/>
            </w:pPr>
            <w:r>
              <w:rPr>
                <w:rFonts w:ascii="Times New Roman" w:hAnsi="Times New Roman"/>
                <w:sz w:val="22"/>
              </w:rPr>
              <w:t>&lt;1s - 1 minut</w:t>
            </w:r>
          </w:p>
        </w:tc>
        <w:tc>
          <w:tcPr>
            <w:tcW w:type="dxa" w:w="1927"/>
          </w:tcPr>
          <w:p>
            <w:pPr>
              <w:spacing w:before="0" w:after="0"/>
              <w:ind w:firstLine="0"/>
              <w:jc w:val="left"/>
            </w:pPr>
            <w:r>
              <w:rPr>
                <w:rFonts w:ascii="Times New Roman" w:hAnsi="Times New Roman"/>
                <w:sz w:val="22"/>
              </w:rPr>
              <w:t>Controller Box (Edge computing)</w:t>
            </w:r>
          </w:p>
        </w:tc>
        <w:tc>
          <w:tcPr>
            <w:tcW w:type="dxa" w:w="1927"/>
          </w:tcPr>
          <w:p>
            <w:pPr>
              <w:spacing w:before="0" w:after="0"/>
              <w:ind w:firstLine="0"/>
              <w:jc w:val="left"/>
            </w:pPr>
            <w:r>
              <w:rPr>
                <w:rFonts w:ascii="Times New Roman" w:hAnsi="Times New Roman"/>
                <w:sz w:val="22"/>
              </w:rPr>
              <w:t>Coordonare Module in Box: cascada interna, echilibrare sarcini, prioritizare</w:t>
            </w:r>
          </w:p>
        </w:tc>
      </w:tr>
      <w:tr>
        <w:tc>
          <w:tcPr>
            <w:tcW w:type="dxa" w:w="1927"/>
          </w:tcPr>
          <w:p>
            <w:pPr>
              <w:spacing w:before="0" w:after="0"/>
              <w:ind w:firstLine="0"/>
              <w:jc w:val="left"/>
            </w:pPr>
            <w:r>
              <w:rPr>
                <w:rFonts w:ascii="Times New Roman" w:hAnsi="Times New Roman"/>
                <w:sz w:val="22"/>
              </w:rPr>
              <w:t>B3 -- Optimizare HUB</w:t>
            </w:r>
          </w:p>
        </w:tc>
        <w:tc>
          <w:tcPr>
            <w:tcW w:type="dxa" w:w="1927"/>
          </w:tcPr>
          <w:p>
            <w:pPr>
              <w:spacing w:before="0" w:after="0"/>
              <w:ind w:firstLine="0"/>
              <w:jc w:val="left"/>
            </w:pPr>
            <w:r>
              <w:rPr>
                <w:rFonts w:ascii="Times New Roman" w:hAnsi="Times New Roman"/>
                <w:sz w:val="22"/>
              </w:rPr>
              <w:t>1-15 minute</w:t>
            </w:r>
          </w:p>
        </w:tc>
        <w:tc>
          <w:tcPr>
            <w:tcW w:type="dxa" w:w="1927"/>
          </w:tcPr>
          <w:p>
            <w:pPr>
              <w:spacing w:before="0" w:after="0"/>
              <w:ind w:firstLine="0"/>
              <w:jc w:val="left"/>
            </w:pPr>
            <w:r>
              <w:rPr>
                <w:rFonts w:ascii="Times New Roman" w:hAnsi="Times New Roman"/>
                <w:sz w:val="22"/>
              </w:rPr>
              <w:t>EMS HUB (AI central)</w:t>
            </w:r>
          </w:p>
        </w:tc>
        <w:tc>
          <w:tcPr>
            <w:tcW w:type="dxa" w:w="1927"/>
          </w:tcPr>
          <w:p>
            <w:pPr>
              <w:spacing w:before="0" w:after="0"/>
              <w:ind w:firstLine="0"/>
              <w:jc w:val="left"/>
            </w:pPr>
            <w:r>
              <w:rPr>
                <w:rFonts w:ascii="Times New Roman" w:hAnsi="Times New Roman"/>
                <w:sz w:val="22"/>
              </w:rPr>
              <w:t>Dispatch optim inter-Box, cascada termica completa, QM global, ScenarioLab</w:t>
            </w:r>
          </w:p>
        </w:tc>
      </w:tr>
      <w:tr>
        <w:tc>
          <w:tcPr>
            <w:tcW w:type="dxa" w:w="1927"/>
          </w:tcPr>
          <w:p>
            <w:pPr>
              <w:spacing w:before="0" w:after="0"/>
              <w:ind w:firstLine="0"/>
              <w:jc w:val="left"/>
            </w:pPr>
            <w:r>
              <w:rPr>
                <w:rFonts w:ascii="Times New Roman" w:hAnsi="Times New Roman"/>
                <w:sz w:val="22"/>
              </w:rPr>
              <w:t>B4 -- Mentenanta predictiva</w:t>
            </w:r>
          </w:p>
        </w:tc>
        <w:tc>
          <w:tcPr>
            <w:tcW w:type="dxa" w:w="1927"/>
          </w:tcPr>
          <w:p>
            <w:pPr>
              <w:spacing w:before="0" w:after="0"/>
              <w:ind w:firstLine="0"/>
              <w:jc w:val="left"/>
            </w:pPr>
            <w:r>
              <w:rPr>
                <w:rFonts w:ascii="Times New Roman" w:hAnsi="Times New Roman"/>
                <w:sz w:val="22"/>
              </w:rPr>
              <w:t>Zilnic</w:t>
            </w:r>
          </w:p>
        </w:tc>
        <w:tc>
          <w:tcPr>
            <w:tcW w:type="dxa" w:w="1927"/>
          </w:tcPr>
          <w:p>
            <w:pPr>
              <w:spacing w:before="0" w:after="0"/>
              <w:ind w:firstLine="0"/>
              <w:jc w:val="left"/>
            </w:pPr>
            <w:r>
              <w:rPr>
                <w:rFonts w:ascii="Times New Roman" w:hAnsi="Times New Roman"/>
                <w:sz w:val="22"/>
              </w:rPr>
              <w:t>AssetHealth AI (Cloud ML)</w:t>
            </w:r>
          </w:p>
        </w:tc>
        <w:tc>
          <w:tcPr>
            <w:tcW w:type="dxa" w:w="1927"/>
          </w:tcPr>
          <w:p>
            <w:pPr>
              <w:spacing w:before="0" w:after="0"/>
              <w:ind w:firstLine="0"/>
              <w:jc w:val="left"/>
            </w:pPr>
            <w:r>
              <w:rPr>
                <w:rFonts w:ascii="Times New Roman" w:hAnsi="Times New Roman"/>
                <w:sz w:val="22"/>
              </w:rPr>
              <w:t>Predictie degradare per Modul/Box/HUB, programare interventii proactive</w:t>
            </w:r>
          </w:p>
        </w:tc>
      </w:tr>
      <w:tr>
        <w:tc>
          <w:tcPr>
            <w:tcW w:type="dxa" w:w="1927"/>
          </w:tcPr>
          <w:p>
            <w:pPr>
              <w:spacing w:before="0" w:after="0"/>
              <w:ind w:firstLine="0"/>
              <w:jc w:val="left"/>
            </w:pPr>
            <w:r>
              <w:rPr>
                <w:rFonts w:ascii="Times New Roman" w:hAnsi="Times New Roman"/>
                <w:sz w:val="22"/>
              </w:rPr>
              <w:t>B5 -- Adaptare strategica</w:t>
            </w:r>
          </w:p>
        </w:tc>
        <w:tc>
          <w:tcPr>
            <w:tcW w:type="dxa" w:w="1927"/>
          </w:tcPr>
          <w:p>
            <w:pPr>
              <w:spacing w:before="0" w:after="0"/>
              <w:ind w:firstLine="0"/>
              <w:jc w:val="left"/>
            </w:pPr>
            <w:r>
              <w:rPr>
                <w:rFonts w:ascii="Times New Roman" w:hAnsi="Times New Roman"/>
                <w:sz w:val="22"/>
              </w:rPr>
              <w:t>Lunar/sezonier</w:t>
            </w:r>
          </w:p>
        </w:tc>
        <w:tc>
          <w:tcPr>
            <w:tcW w:type="dxa" w:w="1927"/>
          </w:tcPr>
          <w:p>
            <w:pPr>
              <w:spacing w:before="0" w:after="0"/>
              <w:ind w:firstLine="0"/>
              <w:jc w:val="left"/>
            </w:pPr>
            <w:r>
              <w:rPr>
                <w:rFonts w:ascii="Times New Roman" w:hAnsi="Times New Roman"/>
                <w:sz w:val="22"/>
              </w:rPr>
              <w:t>EMS Cloud + Digital Twin</w:t>
            </w:r>
          </w:p>
        </w:tc>
        <w:tc>
          <w:tcPr>
            <w:tcW w:type="dxa" w:w="1927"/>
          </w:tcPr>
          <w:p>
            <w:pPr>
              <w:spacing w:before="0" w:after="0"/>
              <w:ind w:firstLine="0"/>
              <w:jc w:val="left"/>
            </w:pPr>
            <w:r>
              <w:rPr>
                <w:rFonts w:ascii="Times New Roman" w:hAnsi="Times New Roman"/>
                <w:sz w:val="22"/>
              </w:rPr>
              <w:t>Recalibrare modele, ajustare configuratie, recomandari upgrade</w:t>
            </w:r>
          </w:p>
        </w:tc>
      </w:tr>
      <w:tr>
        <w:tc>
          <w:tcPr>
            <w:tcW w:type="dxa" w:w="1927"/>
          </w:tcPr>
          <w:p>
            <w:pPr>
              <w:spacing w:before="0" w:after="0"/>
              <w:ind w:firstLine="0"/>
              <w:jc w:val="left"/>
            </w:pPr>
            <w:r>
              <w:rPr>
                <w:rFonts w:ascii="Times New Roman" w:hAnsi="Times New Roman"/>
                <w:sz w:val="22"/>
              </w:rPr>
              <w:t>B6 -- Coordonare meta-retea</w:t>
            </w:r>
          </w:p>
        </w:tc>
        <w:tc>
          <w:tcPr>
            <w:tcW w:type="dxa" w:w="1927"/>
          </w:tcPr>
          <w:p>
            <w:pPr>
              <w:spacing w:before="0" w:after="0"/>
              <w:ind w:firstLine="0"/>
              <w:jc w:val="left"/>
            </w:pPr>
            <w:r>
              <w:rPr>
                <w:rFonts w:ascii="Times New Roman" w:hAnsi="Times New Roman"/>
                <w:sz w:val="22"/>
              </w:rPr>
              <w:t>Continuu</w:t>
            </w:r>
          </w:p>
        </w:tc>
        <w:tc>
          <w:tcPr>
            <w:tcW w:type="dxa" w:w="1927"/>
          </w:tcPr>
          <w:p>
            <w:pPr>
              <w:spacing w:before="0" w:after="0"/>
              <w:ind w:firstLine="0"/>
              <w:jc w:val="left"/>
            </w:pPr>
            <w:r>
              <w:rPr>
                <w:rFonts w:ascii="Times New Roman" w:hAnsi="Times New Roman"/>
                <w:sz w:val="22"/>
              </w:rPr>
              <w:t>Exergy Online (inter-HUB)</w:t>
            </w:r>
          </w:p>
        </w:tc>
        <w:tc>
          <w:tcPr>
            <w:tcW w:type="dxa" w:w="1927"/>
          </w:tcPr>
          <w:p>
            <w:pPr>
              <w:spacing w:before="0" w:after="0"/>
              <w:ind w:firstLine="0"/>
              <w:jc w:val="left"/>
            </w:pPr>
            <w:r>
              <w:rPr>
                <w:rFonts w:ascii="Times New Roman" w:hAnsi="Times New Roman"/>
                <w:sz w:val="22"/>
              </w:rPr>
              <w:t>Echilibrare inter-comunitara, dispatch surplus, smart contracts P2P</w:t>
            </w:r>
          </w:p>
        </w:tc>
      </w:tr>
      <w:tr>
        <w:tc>
          <w:tcPr>
            <w:tcW w:type="dxa" w:w="1927"/>
          </w:tcPr>
          <w:p>
            <w:pPr>
              <w:spacing w:before="0" w:after="0"/>
              <w:ind w:firstLine="0"/>
              <w:jc w:val="left"/>
            </w:pPr>
            <w:r>
              <w:rPr>
                <w:rFonts w:ascii="Times New Roman" w:hAnsi="Times New Roman"/>
                <w:sz w:val="22"/>
              </w:rPr>
              <w:t>B7 -- Optimizare holistica</w:t>
            </w:r>
          </w:p>
        </w:tc>
        <w:tc>
          <w:tcPr>
            <w:tcW w:type="dxa" w:w="1927"/>
          </w:tcPr>
          <w:p>
            <w:pPr>
              <w:spacing w:before="0" w:after="0"/>
              <w:ind w:firstLine="0"/>
              <w:jc w:val="left"/>
            </w:pPr>
            <w:r>
              <w:rPr>
                <w:rFonts w:ascii="Times New Roman" w:hAnsi="Times New Roman"/>
                <w:sz w:val="22"/>
              </w:rPr>
              <w:t>Continuu</w:t>
            </w:r>
          </w:p>
        </w:tc>
        <w:tc>
          <w:tcPr>
            <w:tcW w:type="dxa" w:w="1927"/>
          </w:tcPr>
          <w:p>
            <w:pPr>
              <w:spacing w:before="0" w:after="0"/>
              <w:ind w:firstLine="0"/>
              <w:jc w:val="left"/>
            </w:pPr>
            <w:r>
              <w:rPr>
                <w:rFonts w:ascii="Times New Roman" w:hAnsi="Times New Roman"/>
                <w:sz w:val="22"/>
              </w:rPr>
              <w:t>Holistic Aggregator (HGA)</w:t>
            </w:r>
          </w:p>
        </w:tc>
        <w:tc>
          <w:tcPr>
            <w:tcW w:type="dxa" w:w="1927"/>
          </w:tcPr>
          <w:p>
            <w:pPr>
              <w:spacing w:before="0" w:after="0"/>
              <w:ind w:firstLine="0"/>
              <w:jc w:val="left"/>
            </w:pPr>
            <w:r>
              <w:rPr>
                <w:rFonts w:ascii="Times New Roman" w:hAnsi="Times New Roman"/>
                <w:sz w:val="22"/>
              </w:rPr>
              <w:t>Cross-Vector Synergy Gain &gt;=8%, stacking venituri, arbitraj multi-piata</w:t>
            </w:r>
          </w:p>
        </w:tc>
      </w:tr>
      <w:tr>
        <w:tc>
          <w:tcPr>
            <w:tcW w:type="dxa" w:w="1927"/>
          </w:tcPr>
          <w:p>
            <w:pPr>
              <w:spacing w:before="0" w:after="0"/>
              <w:ind w:firstLine="0"/>
              <w:jc w:val="left"/>
            </w:pPr>
            <w:r>
              <w:rPr>
                <w:rFonts w:ascii="Times New Roman" w:hAnsi="Times New Roman"/>
                <w:sz w:val="22"/>
              </w:rPr>
              <w:t>B8 -- Participare cetateni</w:t>
            </w:r>
          </w:p>
        </w:tc>
        <w:tc>
          <w:tcPr>
            <w:tcW w:type="dxa" w:w="1927"/>
          </w:tcPr>
          <w:p>
            <w:pPr>
              <w:spacing w:before="0" w:after="0"/>
              <w:ind w:firstLine="0"/>
              <w:jc w:val="left"/>
            </w:pPr>
            <w:r>
              <w:rPr>
                <w:rFonts w:ascii="Times New Roman" w:hAnsi="Times New Roman"/>
                <w:sz w:val="22"/>
              </w:rPr>
              <w:t>Real-time</w:t>
            </w:r>
          </w:p>
        </w:tc>
        <w:tc>
          <w:tcPr>
            <w:tcW w:type="dxa" w:w="1927"/>
          </w:tcPr>
          <w:p>
            <w:pPr>
              <w:spacing w:before="0" w:after="0"/>
              <w:ind w:firstLine="0"/>
              <w:jc w:val="left"/>
            </w:pPr>
            <w:r>
              <w:rPr>
                <w:rFonts w:ascii="Times New Roman" w:hAnsi="Times New Roman"/>
                <w:sz w:val="22"/>
              </w:rPr>
              <w:t>Exergy App (interfata publica)</w:t>
            </w:r>
          </w:p>
        </w:tc>
        <w:tc>
          <w:tcPr>
            <w:tcW w:type="dxa" w:w="1927"/>
          </w:tcPr>
          <w:p>
            <w:pPr>
              <w:spacing w:before="0" w:after="0"/>
              <w:ind w:firstLine="0"/>
              <w:jc w:val="left"/>
            </w:pPr>
            <w:r>
              <w:rPr>
                <w:rFonts w:ascii="Times New Roman" w:hAnsi="Times New Roman"/>
                <w:sz w:val="22"/>
              </w:rPr>
              <w:t>Dashboard personal, tokeni, S2E tracking, V2G setari, notificari</w:t>
            </w:r>
          </w:p>
        </w:tc>
      </w:tr>
    </w:tbl>
    <w:p>
      <w:pPr>
        <w:ind w:firstLine="0"/>
      </w:pPr>
    </w:p>
    <w:p>
      <w:pPr>
        <w:ind w:firstLine="0"/>
      </w:pPr>
    </w:p>
    <w:p>
      <w:pPr>
        <w:pStyle w:val="SubHeading"/>
        <w:keepNext/>
      </w:pPr>
      <w:r>
        <w:t>6.1 Scenariolab -- simularea preventiva a configuratiilor hub</w:t>
      </w:r>
    </w:p>
    <w:p>
      <w:pPr>
        <w:ind w:firstLine="0"/>
      </w:pPr>
    </w:p>
    <w:p>
      <w:pPr/>
      <w:r>
        <w:t>ScenarioLab este modulul de simulare integrat in EB-EMS, cu 50+ template-uri preconfigurate, care permite testarea oricarei configuratii HUB inainte de implementarea fizica sau operationala:</w:t>
      </w:r>
    </w:p>
    <w:p>
      <w:pPr/>
      <w:r>
        <w:t>Funcțiile ScenarioLab și mecanismele de valoare adăugată sunt detaliate în Tabelul 11.</w:t>
      </w:r>
    </w:p>
    <w:p>
      <w:pPr>
        <w:ind w:firstLine="0"/>
      </w:pPr>
    </w:p>
    <w:p>
      <w:pPr>
        <w:pStyle w:val="TableCaption"/>
      </w:pPr>
      <w:r>
        <w:t>Tabel 11. Funcțiile ScenarioLab și mecanismele de valoare adăugată</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Functie ScenarioLab</w:t>
            </w:r>
          </w:p>
        </w:tc>
        <w:tc>
          <w:tcPr>
            <w:tcW w:type="dxa" w:w="3855"/>
          </w:tcPr>
          <w:p>
            <w:pPr>
              <w:spacing w:before="0" w:after="0"/>
              <w:ind w:firstLine="0"/>
              <w:jc w:val="left"/>
            </w:pPr>
            <w:r>
              <w:rPr>
                <w:rFonts w:ascii="Times New Roman" w:hAnsi="Times New Roman"/>
                <w:b/>
                <w:sz w:val="22"/>
              </w:rPr>
              <w:t>Continut, Mecanismul si Valoarea Adaugata</w:t>
            </w:r>
          </w:p>
        </w:tc>
      </w:tr>
      <w:tr>
        <w:tc>
          <w:tcPr>
            <w:tcW w:type="dxa" w:w="3855"/>
          </w:tcPr>
          <w:p>
            <w:pPr>
              <w:spacing w:before="0" w:after="0"/>
              <w:ind w:firstLine="0"/>
              <w:jc w:val="left"/>
            </w:pPr>
            <w:r>
              <w:rPr>
                <w:rFonts w:ascii="Times New Roman" w:hAnsi="Times New Roman"/>
                <w:sz w:val="22"/>
              </w:rPr>
              <w:t>What-if pre-operare (pre-Box)</w:t>
            </w:r>
          </w:p>
        </w:tc>
        <w:tc>
          <w:tcPr>
            <w:tcW w:type="dxa" w:w="3855"/>
          </w:tcPr>
          <w:p>
            <w:pPr>
              <w:spacing w:before="0" w:after="0"/>
              <w:ind w:firstLine="0"/>
              <w:jc w:val="left"/>
            </w:pPr>
            <w:r>
              <w:rPr>
                <w:rFonts w:ascii="Times New Roman" w:hAnsi="Times New Roman"/>
                <w:sz w:val="22"/>
              </w:rPr>
              <w:t>Inainte de instalarea unui Box nou: simularea impactului complet asupra bilantului exergetic, financiar si de emisii al HUB-ului existent. Raspuns: merita investitia? Care este configuratia optima? Economie de 10-20% pe costul total al proiectului prin evitarea achizitiilor gresit dimensionate.</w:t>
            </w:r>
          </w:p>
        </w:tc>
      </w:tr>
      <w:tr>
        <w:tc>
          <w:tcPr>
            <w:tcW w:type="dxa" w:w="3855"/>
          </w:tcPr>
          <w:p>
            <w:pPr>
              <w:spacing w:before="0" w:after="0"/>
              <w:ind w:firstLine="0"/>
              <w:jc w:val="left"/>
            </w:pPr>
            <w:r>
              <w:rPr>
                <w:rFonts w:ascii="Times New Roman" w:hAnsi="Times New Roman"/>
                <w:sz w:val="22"/>
              </w:rPr>
              <w:t>Planificare sezoniera</w:t>
            </w:r>
          </w:p>
        </w:tc>
        <w:tc>
          <w:tcPr>
            <w:tcW w:type="dxa" w:w="3855"/>
          </w:tcPr>
          <w:p>
            <w:pPr>
              <w:spacing w:before="0" w:after="0"/>
              <w:ind w:firstLine="0"/>
              <w:jc w:val="left"/>
            </w:pPr>
            <w:r>
              <w:rPr>
                <w:rFonts w:ascii="Times New Roman" w:hAnsi="Times New Roman"/>
                <w:sz w:val="22"/>
              </w:rPr>
              <w:t>Inainte de sezonul rece/cald: optimizarea configuratiei de operare pe baza predictiilor meteo LSTM (90 zile), consumului istoric si preturilor prognozate OPCOM Day-Ahead. Reducerea costului operational cu 10-20% comparativ cu operare conventionala.</w:t>
            </w:r>
          </w:p>
        </w:tc>
      </w:tr>
      <w:tr>
        <w:tc>
          <w:tcPr>
            <w:tcW w:type="dxa" w:w="3855"/>
          </w:tcPr>
          <w:p>
            <w:pPr>
              <w:spacing w:before="0" w:after="0"/>
              <w:ind w:firstLine="0"/>
              <w:jc w:val="left"/>
            </w:pPr>
            <w:r>
              <w:rPr>
                <w:rFonts w:ascii="Times New Roman" w:hAnsi="Times New Roman"/>
                <w:sz w:val="22"/>
              </w:rPr>
              <w:t>Raspuns pre-configurat la avarii</w:t>
            </w:r>
          </w:p>
        </w:tc>
        <w:tc>
          <w:tcPr>
            <w:tcW w:type="dxa" w:w="3855"/>
          </w:tcPr>
          <w:p>
            <w:pPr>
              <w:spacing w:before="0" w:after="0"/>
              <w:ind w:firstLine="0"/>
              <w:jc w:val="left"/>
            </w:pPr>
            <w:r>
              <w:rPr>
                <w:rFonts w:ascii="Times New Roman" w:hAnsi="Times New Roman"/>
                <w:sz w:val="22"/>
              </w:rPr>
              <w:t>Simularea scenariilor de avarie (cadere CHP, blackout national, ruptura retea termica) si pre-configurarea planului de raspuns automat. EMS stie exact ce face in &lt;100ms fara sa astepte decizie umana -- rezilienta operationala prin preprogramare.</w:t>
            </w:r>
          </w:p>
        </w:tc>
      </w:tr>
    </w:tbl>
    <w:p>
      <w:pPr>
        <w:ind w:firstLine="0"/>
      </w:pPr>
    </w:p>
    <w:p>
      <w:pPr>
        <w:ind w:firstLine="0"/>
      </w:pPr>
    </w:p>
    <w:p>
      <w:pPr>
        <w:pStyle w:val="SubHeading"/>
        <w:keepNext/>
      </w:pPr>
      <w:r>
        <w:t>6.2 Assethealth ai -- mentenanta predictiva ca standard de disponibilitate</w:t>
      </w:r>
    </w:p>
    <w:p>
      <w:pPr>
        <w:ind w:firstLine="0"/>
      </w:pPr>
    </w:p>
    <w:p>
      <w:pPr/>
      <w:r>
        <w:t>AssetHealth AI monitorizeaza starea de sanatate a fiecarui Modul, Box si HUB prin algoritmi ML (LSTM pentru predictie degradare, Isolation Forest pentru detectie anomalii), generand 4 indicatori cheie de performanta operationala:</w:t>
      </w:r>
    </w:p>
    <w:p>
      <w:pPr/>
      <w:r>
        <w:t>Indicatorii de sănătate ai activelor și valorile țintă se pot observa în Tabelul 12.</w:t>
      </w:r>
    </w:p>
    <w:p>
      <w:pPr>
        <w:ind w:firstLine="0"/>
      </w:pPr>
    </w:p>
    <w:p>
      <w:pPr>
        <w:pStyle w:val="TableCaption"/>
      </w:pPr>
      <w:r>
        <w:t>Tabel 12. Indicatorii de sănătate ai activelor și valorile țintă</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Indicator AssetHealth</w:t>
            </w:r>
          </w:p>
        </w:tc>
        <w:tc>
          <w:tcPr>
            <w:tcW w:type="dxa" w:w="2570"/>
          </w:tcPr>
          <w:p>
            <w:pPr>
              <w:spacing w:before="0" w:after="0"/>
              <w:ind w:firstLine="0"/>
              <w:jc w:val="left"/>
            </w:pPr>
            <w:r>
              <w:rPr>
                <w:rFonts w:ascii="Times New Roman" w:hAnsi="Times New Roman"/>
                <w:b/>
                <w:sz w:val="22"/>
              </w:rPr>
              <w:t>Valoare Target</w:t>
            </w:r>
          </w:p>
        </w:tc>
        <w:tc>
          <w:tcPr>
            <w:tcW w:type="dxa" w:w="2570"/>
          </w:tcPr>
          <w:p>
            <w:pPr>
              <w:spacing w:before="0" w:after="0"/>
              <w:ind w:firstLine="0"/>
              <w:jc w:val="left"/>
            </w:pPr>
            <w:r>
              <w:rPr>
                <w:rFonts w:ascii="Times New Roman" w:hAnsi="Times New Roman"/>
                <w:b/>
                <w:sz w:val="22"/>
              </w:rPr>
              <w:t>Definitie si Mecanism de Atingere</w:t>
            </w:r>
          </w:p>
        </w:tc>
      </w:tr>
      <w:tr>
        <w:tc>
          <w:tcPr>
            <w:tcW w:type="dxa" w:w="2570"/>
          </w:tcPr>
          <w:p>
            <w:pPr>
              <w:spacing w:before="0" w:after="0"/>
              <w:ind w:firstLine="0"/>
              <w:jc w:val="left"/>
            </w:pPr>
            <w:r>
              <w:rPr>
                <w:rFonts w:ascii="Times New Roman" w:hAnsi="Times New Roman"/>
                <w:sz w:val="22"/>
              </w:rPr>
              <w:t>MTBF -- Mean Time Between Failures</w:t>
            </w:r>
          </w:p>
        </w:tc>
        <w:tc>
          <w:tcPr>
            <w:tcW w:type="dxa" w:w="2570"/>
          </w:tcPr>
          <w:p>
            <w:pPr>
              <w:spacing w:before="0" w:after="0"/>
              <w:ind w:firstLine="0"/>
              <w:jc w:val="left"/>
            </w:pPr>
            <w:r>
              <w:rPr>
                <w:rFonts w:ascii="Times New Roman" w:hAnsi="Times New Roman"/>
                <w:sz w:val="22"/>
              </w:rPr>
              <w:t>&gt;=8.000 ore</w:t>
            </w:r>
          </w:p>
        </w:tc>
        <w:tc>
          <w:tcPr>
            <w:tcW w:type="dxa" w:w="2570"/>
          </w:tcPr>
          <w:p>
            <w:pPr>
              <w:spacing w:before="0" w:after="0"/>
              <w:ind w:firstLine="0"/>
              <w:jc w:val="left"/>
            </w:pPr>
            <w:r>
              <w:rPr>
                <w:rFonts w:ascii="Times New Roman" w:hAnsi="Times New Roman"/>
                <w:sz w:val="22"/>
              </w:rPr>
              <w:t>Intervalul mediu intre defectari. Atins prin detectie precoce a degradarii (vibratii, temperatura, curent) si inlocuire proactiva inainte de defectare.</w:t>
            </w:r>
          </w:p>
        </w:tc>
      </w:tr>
      <w:tr>
        <w:tc>
          <w:tcPr>
            <w:tcW w:type="dxa" w:w="2570"/>
          </w:tcPr>
          <w:p>
            <w:pPr>
              <w:spacing w:before="0" w:after="0"/>
              <w:ind w:firstLine="0"/>
              <w:jc w:val="left"/>
            </w:pPr>
            <w:r>
              <w:rPr>
                <w:rFonts w:ascii="Times New Roman" w:hAnsi="Times New Roman"/>
                <w:sz w:val="22"/>
              </w:rPr>
              <w:t>MTTR -- Mean Time To Repair</w:t>
            </w:r>
          </w:p>
        </w:tc>
        <w:tc>
          <w:tcPr>
            <w:tcW w:type="dxa" w:w="2570"/>
          </w:tcPr>
          <w:p>
            <w:pPr>
              <w:spacing w:before="0" w:after="0"/>
              <w:ind w:firstLine="0"/>
              <w:jc w:val="left"/>
            </w:pPr>
            <w:r>
              <w:rPr>
                <w:rFonts w:ascii="Times New Roman" w:hAnsi="Times New Roman"/>
                <w:sz w:val="22"/>
              </w:rPr>
              <w:t>&lt;=4 ore</w:t>
            </w:r>
          </w:p>
        </w:tc>
        <w:tc>
          <w:tcPr>
            <w:tcW w:type="dxa" w:w="2570"/>
          </w:tcPr>
          <w:p>
            <w:pPr>
              <w:spacing w:before="0" w:after="0"/>
              <w:ind w:firstLine="0"/>
              <w:jc w:val="left"/>
            </w:pPr>
            <w:r>
              <w:rPr>
                <w:rFonts w:ascii="Times New Roman" w:hAnsi="Times New Roman"/>
                <w:sz w:val="22"/>
              </w:rPr>
              <w:t>Intervalul mediu de reparatie. Atins prin piese de schimb pre-pozitionate in fabrica, proceduri standardizate de interventie si asistenta remote AR (Augmented Reality).</w:t>
            </w:r>
          </w:p>
        </w:tc>
      </w:tr>
      <w:tr>
        <w:tc>
          <w:tcPr>
            <w:tcW w:type="dxa" w:w="2570"/>
          </w:tcPr>
          <w:p>
            <w:pPr>
              <w:spacing w:before="0" w:after="0"/>
              <w:ind w:firstLine="0"/>
              <w:jc w:val="left"/>
            </w:pPr>
            <w:r>
              <w:rPr>
                <w:rFonts w:ascii="Times New Roman" w:hAnsi="Times New Roman"/>
                <w:sz w:val="22"/>
              </w:rPr>
              <w:t>Disponibilitate sistem</w:t>
            </w:r>
          </w:p>
        </w:tc>
        <w:tc>
          <w:tcPr>
            <w:tcW w:type="dxa" w:w="2570"/>
          </w:tcPr>
          <w:p>
            <w:pPr>
              <w:spacing w:before="0" w:after="0"/>
              <w:ind w:firstLine="0"/>
              <w:jc w:val="left"/>
            </w:pPr>
            <w:r>
              <w:rPr>
                <w:rFonts w:ascii="Times New Roman" w:hAnsi="Times New Roman"/>
                <w:sz w:val="22"/>
              </w:rPr>
              <w:t>&gt;=98%</w:t>
            </w:r>
          </w:p>
        </w:tc>
        <w:tc>
          <w:tcPr>
            <w:tcW w:type="dxa" w:w="2570"/>
          </w:tcPr>
          <w:p>
            <w:pPr>
              <w:spacing w:before="0" w:after="0"/>
              <w:ind w:firstLine="0"/>
              <w:jc w:val="left"/>
            </w:pPr>
            <w:r>
              <w:rPr>
                <w:rFonts w:ascii="Times New Roman" w:hAnsi="Times New Roman"/>
                <w:sz w:val="22"/>
              </w:rPr>
              <w:t>D = MTBF/(MTBF+MTTR). Cu MTBF = 8.000h si MTTR = 4h: D = 8.000/8.004 = 99.95% teoretic. Obiectiv operational &gt;=98% dupa evenimente neplanificate si mentenanta programata inclusa.</w:t>
            </w:r>
          </w:p>
        </w:tc>
      </w:tr>
      <w:tr>
        <w:tc>
          <w:tcPr>
            <w:tcW w:type="dxa" w:w="2570"/>
          </w:tcPr>
          <w:p>
            <w:pPr>
              <w:spacing w:before="0" w:after="0"/>
              <w:ind w:firstLine="0"/>
              <w:jc w:val="left"/>
            </w:pPr>
            <w:r>
              <w:rPr>
                <w:rFonts w:ascii="Times New Roman" w:hAnsi="Times New Roman"/>
                <w:sz w:val="22"/>
              </w:rPr>
              <w:t>Scor AssetHealth compozit</w:t>
            </w:r>
          </w:p>
        </w:tc>
        <w:tc>
          <w:tcPr>
            <w:tcW w:type="dxa" w:w="2570"/>
          </w:tcPr>
          <w:p>
            <w:pPr>
              <w:spacing w:before="0" w:after="0"/>
              <w:ind w:firstLine="0"/>
              <w:jc w:val="left"/>
            </w:pPr>
            <w:r>
              <w:rPr>
                <w:rFonts w:ascii="Times New Roman" w:hAnsi="Times New Roman"/>
                <w:sz w:val="22"/>
              </w:rPr>
              <w:t>0-100 per componenta</w:t>
            </w:r>
          </w:p>
        </w:tc>
        <w:tc>
          <w:tcPr>
            <w:tcW w:type="dxa" w:w="2570"/>
          </w:tcPr>
          <w:p>
            <w:pPr>
              <w:spacing w:before="0" w:after="0"/>
              <w:ind w:firstLine="0"/>
              <w:jc w:val="left"/>
            </w:pPr>
            <w:r>
              <w:rPr>
                <w:rFonts w:ascii="Times New Roman" w:hAnsi="Times New Roman"/>
                <w:sz w:val="22"/>
              </w:rPr>
              <w:t>Scor per Modul, Box si HUB: 80-100 = OK (operare normala); 60-79 = monitorizare intensificata; 40-59 = interventie programata in 30 zile; &lt;40 = interventie urgenta in 72h.</w:t>
            </w:r>
          </w:p>
        </w:tc>
      </w:tr>
    </w:tbl>
    <w:p>
      <w:pPr>
        <w:ind w:firstLine="0"/>
      </w:pPr>
    </w:p>
    <w:p>
      <w:pPr>
        <w:ind w:firstLine="0"/>
      </w:pPr>
    </w:p>
    <w:p>
      <w:pPr>
        <w:pStyle w:val="ChapterHeading"/>
        <w:keepNext/>
      </w:pPr>
      <w:r>
        <w:t>7. Configuratii Tipice de Hub si Domenii de Aplicabilitate</w:t>
      </w:r>
    </w:p>
    <w:p>
      <w:pPr>
        <w:ind w:firstLine="0"/>
      </w:pPr>
    </w:p>
    <w:p>
      <w:pPr/>
      <w:r>
        <w:t>Cele 9 tipologii de Box genereaza un spatiu teoretic vast de configuratii posibile, dar practica inginereasca a identificat 5 configuratii tipice care acopera 90%+ din contextele de localitati europene. Selectia configuratiei corecte este ghidata de 3 parametri principali: resursa locala dominanta (biomasa/solar/urban mixt), densitatea consumului (rural/urban/industrial) si bugetul disponibil.</w:t>
      </w:r>
    </w:p>
    <w:p>
      <w:pPr/>
      <w:r>
        <w:t>Configurațiile HUB pentru diferite tipuri de comunități sunt prezentate în Tabelul 13.</w:t>
      </w:r>
    </w:p>
    <w:p>
      <w:pPr>
        <w:ind w:firstLine="0"/>
      </w:pPr>
    </w:p>
    <w:p>
      <w:pPr>
        <w:pStyle w:val="TableCaption"/>
      </w:pPr>
      <w:r>
        <w:t>Tabel 13. Configurațiile HUB pentru diferite tipuri de comunități</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Configuratie HUB</w:t>
            </w:r>
          </w:p>
        </w:tc>
        <w:tc>
          <w:tcPr>
            <w:tcW w:type="dxa" w:w="1542"/>
          </w:tcPr>
          <w:p>
            <w:pPr>
              <w:spacing w:before="0" w:after="0"/>
              <w:ind w:firstLine="0"/>
              <w:jc w:val="left"/>
            </w:pPr>
            <w:r>
              <w:rPr>
                <w:rFonts w:ascii="Times New Roman" w:hAnsi="Times New Roman"/>
                <w:b/>
                <w:sz w:val="22"/>
              </w:rPr>
              <w:t>Box-uri Componente</w:t>
            </w:r>
          </w:p>
        </w:tc>
        <w:tc>
          <w:tcPr>
            <w:tcW w:type="dxa" w:w="1542"/>
          </w:tcPr>
          <w:p>
            <w:pPr>
              <w:spacing w:before="0" w:after="0"/>
              <w:ind w:firstLine="0"/>
              <w:jc w:val="left"/>
            </w:pPr>
            <w:r>
              <w:rPr>
                <w:rFonts w:ascii="Times New Roman" w:hAnsi="Times New Roman"/>
                <w:b/>
                <w:sz w:val="22"/>
              </w:rPr>
              <w:t>Comunitate Tipica</w:t>
            </w:r>
          </w:p>
        </w:tc>
        <w:tc>
          <w:tcPr>
            <w:tcW w:type="dxa" w:w="1542"/>
          </w:tcPr>
          <w:p>
            <w:pPr>
              <w:spacing w:before="0" w:after="0"/>
              <w:ind w:firstLine="0"/>
              <w:jc w:val="left"/>
            </w:pPr>
            <w:r>
              <w:rPr>
                <w:rFonts w:ascii="Times New Roman" w:hAnsi="Times New Roman"/>
                <w:b/>
                <w:sz w:val="22"/>
              </w:rPr>
              <w:t>Investitie Est.</w:t>
            </w:r>
          </w:p>
        </w:tc>
        <w:tc>
          <w:tcPr>
            <w:tcW w:type="dxa" w:w="1542"/>
          </w:tcPr>
          <w:p>
            <w:pPr>
              <w:spacing w:before="0" w:after="0"/>
              <w:ind w:firstLine="0"/>
              <w:jc w:val="left"/>
            </w:pPr>
            <w:r>
              <w:rPr>
                <w:rFonts w:ascii="Times New Roman" w:hAnsi="Times New Roman"/>
                <w:b/>
                <w:sz w:val="22"/>
              </w:rPr>
              <w:t>Nota de Aplicabilitate</w:t>
            </w:r>
          </w:p>
        </w:tc>
      </w:tr>
      <w:tr>
        <w:tc>
          <w:tcPr>
            <w:tcW w:type="dxa" w:w="1542"/>
          </w:tcPr>
          <w:p>
            <w:pPr>
              <w:spacing w:before="0" w:after="0"/>
              <w:ind w:firstLine="0"/>
              <w:jc w:val="left"/>
            </w:pPr>
            <w:r>
              <w:rPr>
                <w:rFonts w:ascii="Times New Roman" w:hAnsi="Times New Roman"/>
                <w:sz w:val="22"/>
              </w:rPr>
              <w:t>HUB Pilot Minimal</w:t>
            </w:r>
          </w:p>
        </w:tc>
        <w:tc>
          <w:tcPr>
            <w:tcW w:type="dxa" w:w="1542"/>
          </w:tcPr>
          <w:p>
            <w:pPr>
              <w:spacing w:before="0" w:after="0"/>
              <w:ind w:firstLine="0"/>
              <w:jc w:val="left"/>
            </w:pPr>
            <w:r>
              <w:rPr>
                <w:rFonts w:ascii="Times New Roman" w:hAnsi="Times New Roman"/>
                <w:sz w:val="22"/>
              </w:rPr>
              <w:t>1x EB-CHP + 1x EB-EMS</w:t>
            </w:r>
          </w:p>
        </w:tc>
        <w:tc>
          <w:tcPr>
            <w:tcW w:type="dxa" w:w="1542"/>
          </w:tcPr>
          <w:p>
            <w:pPr>
              <w:spacing w:before="0" w:after="0"/>
              <w:ind w:firstLine="0"/>
              <w:jc w:val="left"/>
            </w:pPr>
            <w:r>
              <w:rPr>
                <w:rFonts w:ascii="Times New Roman" w:hAnsi="Times New Roman"/>
                <w:sz w:val="22"/>
              </w:rPr>
              <w:t>Pilot, 20-50 locuinte, resursa biomasa</w:t>
            </w:r>
          </w:p>
        </w:tc>
        <w:tc>
          <w:tcPr>
            <w:tcW w:type="dxa" w:w="1542"/>
          </w:tcPr>
          <w:p>
            <w:pPr>
              <w:spacing w:before="0" w:after="0"/>
              <w:ind w:firstLine="0"/>
              <w:jc w:val="left"/>
            </w:pPr>
            <w:r>
              <w:rPr>
                <w:rFonts w:ascii="Times New Roman" w:hAnsi="Times New Roman"/>
                <w:sz w:val="22"/>
              </w:rPr>
              <w:t>150-300k EUR</w:t>
            </w:r>
          </w:p>
        </w:tc>
        <w:tc>
          <w:tcPr>
            <w:tcW w:type="dxa" w:w="1542"/>
          </w:tcPr>
          <w:p>
            <w:pPr>
              <w:spacing w:before="0" w:after="0"/>
              <w:ind w:firstLine="0"/>
              <w:jc w:val="left"/>
            </w:pPr>
            <w:r>
              <w:rPr>
                <w:rFonts w:ascii="Times New Roman" w:hAnsi="Times New Roman"/>
                <w:sz w:val="22"/>
              </w:rPr>
              <w:t>Dovedeste conceptul; prima certificare clasa E; primii tokeni activi</w:t>
            </w:r>
          </w:p>
        </w:tc>
      </w:tr>
      <w:tr>
        <w:tc>
          <w:tcPr>
            <w:tcW w:type="dxa" w:w="1542"/>
          </w:tcPr>
          <w:p>
            <w:pPr>
              <w:spacing w:before="0" w:after="0"/>
              <w:ind w:firstLine="0"/>
              <w:jc w:val="left"/>
            </w:pPr>
            <w:r>
              <w:rPr>
                <w:rFonts w:ascii="Times New Roman" w:hAnsi="Times New Roman"/>
                <w:sz w:val="22"/>
              </w:rPr>
              <w:t>HUB Rural Biomasa</w:t>
            </w:r>
          </w:p>
        </w:tc>
        <w:tc>
          <w:tcPr>
            <w:tcW w:type="dxa" w:w="1542"/>
          </w:tcPr>
          <w:p>
            <w:pPr>
              <w:spacing w:before="0" w:after="0"/>
              <w:ind w:firstLine="0"/>
              <w:jc w:val="left"/>
            </w:pPr>
            <w:r>
              <w:rPr>
                <w:rFonts w:ascii="Times New Roman" w:hAnsi="Times New Roman"/>
                <w:sz w:val="22"/>
              </w:rPr>
              <w:t>1x EB-CHP + 1x EB-TPC + 1x EB-STO + 1x EB-EMS</w:t>
            </w:r>
          </w:p>
        </w:tc>
        <w:tc>
          <w:tcPr>
            <w:tcW w:type="dxa" w:w="1542"/>
          </w:tcPr>
          <w:p>
            <w:pPr>
              <w:spacing w:before="0" w:after="0"/>
              <w:ind w:firstLine="0"/>
              <w:jc w:val="left"/>
            </w:pPr>
            <w:r>
              <w:rPr>
                <w:rFonts w:ascii="Times New Roman" w:hAnsi="Times New Roman"/>
                <w:sz w:val="22"/>
              </w:rPr>
              <w:t>Rural, 50-200 locuinte, biomasa/SRF abundent</w:t>
            </w:r>
          </w:p>
        </w:tc>
        <w:tc>
          <w:tcPr>
            <w:tcW w:type="dxa" w:w="1542"/>
          </w:tcPr>
          <w:p>
            <w:pPr>
              <w:spacing w:before="0" w:after="0"/>
              <w:ind w:firstLine="0"/>
              <w:jc w:val="left"/>
            </w:pPr>
            <w:r>
              <w:rPr>
                <w:rFonts w:ascii="Times New Roman" w:hAnsi="Times New Roman"/>
                <w:sz w:val="22"/>
              </w:rPr>
              <w:t>300-600k EUR</w:t>
            </w:r>
          </w:p>
        </w:tc>
        <w:tc>
          <w:tcPr>
            <w:tcW w:type="dxa" w:w="1542"/>
          </w:tcPr>
          <w:p>
            <w:pPr>
              <w:spacing w:before="0" w:after="0"/>
              <w:ind w:firstLine="0"/>
              <w:jc w:val="left"/>
            </w:pPr>
            <w:r>
              <w:rPr>
                <w:rFonts w:ascii="Times New Roman" w:hAnsi="Times New Roman"/>
                <w:sz w:val="22"/>
              </w:rPr>
              <w:t>Configuratia optima pentru localitati rurale montane cu paduri; cascada N1-&gt;N2 completa</w:t>
            </w:r>
          </w:p>
        </w:tc>
      </w:tr>
      <w:tr>
        <w:tc>
          <w:tcPr>
            <w:tcW w:type="dxa" w:w="1542"/>
          </w:tcPr>
          <w:p>
            <w:pPr>
              <w:spacing w:before="0" w:after="0"/>
              <w:ind w:firstLine="0"/>
              <w:jc w:val="left"/>
            </w:pPr>
            <w:r>
              <w:rPr>
                <w:rFonts w:ascii="Times New Roman" w:hAnsi="Times New Roman"/>
                <w:sz w:val="22"/>
              </w:rPr>
              <w:t>HUB Urban Solar</w:t>
            </w:r>
          </w:p>
        </w:tc>
        <w:tc>
          <w:tcPr>
            <w:tcW w:type="dxa" w:w="1542"/>
          </w:tcPr>
          <w:p>
            <w:pPr>
              <w:spacing w:before="0" w:after="0"/>
              <w:ind w:firstLine="0"/>
              <w:jc w:val="left"/>
            </w:pPr>
            <w:r>
              <w:rPr>
                <w:rFonts w:ascii="Times New Roman" w:hAnsi="Times New Roman"/>
                <w:sz w:val="22"/>
              </w:rPr>
              <w:t>2x EB-SOL + 1x EB-TPC + 1x EB-STO + 1x EB-EVC + 1x EB-EMS</w:t>
            </w:r>
          </w:p>
        </w:tc>
        <w:tc>
          <w:tcPr>
            <w:tcW w:type="dxa" w:w="1542"/>
          </w:tcPr>
          <w:p>
            <w:pPr>
              <w:spacing w:before="0" w:after="0"/>
              <w:ind w:firstLine="0"/>
              <w:jc w:val="left"/>
            </w:pPr>
            <w:r>
              <w:rPr>
                <w:rFonts w:ascii="Times New Roman" w:hAnsi="Times New Roman"/>
                <w:sz w:val="22"/>
              </w:rPr>
              <w:t>Urban, 100-500 locuinte, suprafata acoperis disponibila</w:t>
            </w:r>
          </w:p>
        </w:tc>
        <w:tc>
          <w:tcPr>
            <w:tcW w:type="dxa" w:w="1542"/>
          </w:tcPr>
          <w:p>
            <w:pPr>
              <w:spacing w:before="0" w:after="0"/>
              <w:ind w:firstLine="0"/>
              <w:jc w:val="left"/>
            </w:pPr>
            <w:r>
              <w:rPr>
                <w:rFonts w:ascii="Times New Roman" w:hAnsi="Times New Roman"/>
                <w:sz w:val="22"/>
              </w:rPr>
              <w:t>500-900k EUR</w:t>
            </w:r>
          </w:p>
        </w:tc>
        <w:tc>
          <w:tcPr>
            <w:tcW w:type="dxa" w:w="1542"/>
          </w:tcPr>
          <w:p>
            <w:pPr>
              <w:spacing w:before="0" w:after="0"/>
              <w:ind w:firstLine="0"/>
              <w:jc w:val="left"/>
            </w:pPr>
            <w:r>
              <w:rPr>
                <w:rFonts w:ascii="Times New Roman" w:hAnsi="Times New Roman"/>
                <w:sz w:val="22"/>
              </w:rPr>
              <w:t>Fara combustibil; maxim FV+termie solara; V2G integrat; optim cartiere noi/reabilitate</w:t>
            </w:r>
          </w:p>
        </w:tc>
      </w:tr>
      <w:tr>
        <w:tc>
          <w:tcPr>
            <w:tcW w:type="dxa" w:w="1542"/>
          </w:tcPr>
          <w:p>
            <w:pPr>
              <w:spacing w:before="0" w:after="0"/>
              <w:ind w:firstLine="0"/>
              <w:jc w:val="left"/>
            </w:pPr>
            <w:r>
              <w:rPr>
                <w:rFonts w:ascii="Times New Roman" w:hAnsi="Times New Roman"/>
                <w:sz w:val="22"/>
              </w:rPr>
              <w:t>HUB Complet</w:t>
            </w:r>
          </w:p>
        </w:tc>
        <w:tc>
          <w:tcPr>
            <w:tcW w:type="dxa" w:w="1542"/>
          </w:tcPr>
          <w:p>
            <w:pPr>
              <w:spacing w:before="0" w:after="0"/>
              <w:ind w:firstLine="0"/>
              <w:jc w:val="left"/>
            </w:pPr>
            <w:r>
              <w:rPr>
                <w:rFonts w:ascii="Times New Roman" w:hAnsi="Times New Roman"/>
                <w:sz w:val="22"/>
              </w:rPr>
              <w:t>EB-CHP + EB-TPC + EB-SOL + EB-H2 + EB-STO + EB-EVC + EB-EMS</w:t>
            </w:r>
          </w:p>
        </w:tc>
        <w:tc>
          <w:tcPr>
            <w:tcW w:type="dxa" w:w="1542"/>
          </w:tcPr>
          <w:p>
            <w:pPr>
              <w:spacing w:before="0" w:after="0"/>
              <w:ind w:firstLine="0"/>
              <w:jc w:val="left"/>
            </w:pPr>
            <w:r>
              <w:rPr>
                <w:rFonts w:ascii="Times New Roman" w:hAnsi="Times New Roman"/>
                <w:sz w:val="22"/>
              </w:rPr>
              <w:t>200-1.000 locuinte, resurse diverse</w:t>
            </w:r>
          </w:p>
        </w:tc>
        <w:tc>
          <w:tcPr>
            <w:tcW w:type="dxa" w:w="1542"/>
          </w:tcPr>
          <w:p>
            <w:pPr>
              <w:spacing w:before="0" w:after="0"/>
              <w:ind w:firstLine="0"/>
              <w:jc w:val="left"/>
            </w:pPr>
            <w:r>
              <w:rPr>
                <w:rFonts w:ascii="Times New Roman" w:hAnsi="Times New Roman"/>
                <w:sz w:val="22"/>
              </w:rPr>
              <w:t>800k-2M EUR</w:t>
            </w:r>
          </w:p>
        </w:tc>
        <w:tc>
          <w:tcPr>
            <w:tcW w:type="dxa" w:w="1542"/>
          </w:tcPr>
          <w:p>
            <w:pPr>
              <w:spacing w:before="0" w:after="0"/>
              <w:ind w:firstLine="0"/>
              <w:jc w:val="left"/>
            </w:pPr>
            <w:r>
              <w:rPr>
                <w:rFonts w:ascii="Times New Roman" w:hAnsi="Times New Roman"/>
                <w:sz w:val="22"/>
              </w:rPr>
              <w:t>Cel mai mare η_ex &gt;=75%; autonomie &gt;=72h garantata; 5+ vectori simultani; flagship CEE</w:t>
            </w:r>
          </w:p>
        </w:tc>
      </w:tr>
      <w:tr>
        <w:tc>
          <w:tcPr>
            <w:tcW w:type="dxa" w:w="1542"/>
          </w:tcPr>
          <w:p>
            <w:pPr>
              <w:spacing w:before="0" w:after="0"/>
              <w:ind w:firstLine="0"/>
              <w:jc w:val="left"/>
            </w:pPr>
            <w:r>
              <w:rPr>
                <w:rFonts w:ascii="Times New Roman" w:hAnsi="Times New Roman"/>
                <w:sz w:val="22"/>
              </w:rPr>
              <w:t>HUB Industrial</w:t>
            </w:r>
          </w:p>
        </w:tc>
        <w:tc>
          <w:tcPr>
            <w:tcW w:type="dxa" w:w="1542"/>
          </w:tcPr>
          <w:p>
            <w:pPr>
              <w:spacing w:before="0" w:after="0"/>
              <w:ind w:firstLine="0"/>
              <w:jc w:val="left"/>
            </w:pPr>
            <w:r>
              <w:rPr>
                <w:rFonts w:ascii="Times New Roman" w:hAnsi="Times New Roman"/>
                <w:sz w:val="22"/>
              </w:rPr>
              <w:t>2x EB-CHP + 1x EB-H2 + 1x EB-STO + 1x EB-EMS</w:t>
            </w:r>
          </w:p>
        </w:tc>
        <w:tc>
          <w:tcPr>
            <w:tcW w:type="dxa" w:w="1542"/>
          </w:tcPr>
          <w:p>
            <w:pPr>
              <w:spacing w:before="0" w:after="0"/>
              <w:ind w:firstLine="0"/>
              <w:jc w:val="left"/>
            </w:pPr>
            <w:r>
              <w:rPr>
                <w:rFonts w:ascii="Times New Roman" w:hAnsi="Times New Roman"/>
                <w:sz w:val="22"/>
              </w:rPr>
              <w:t>Zona industriala cu simbioze termice</w:t>
            </w:r>
          </w:p>
        </w:tc>
        <w:tc>
          <w:tcPr>
            <w:tcW w:type="dxa" w:w="1542"/>
          </w:tcPr>
          <w:p>
            <w:pPr>
              <w:spacing w:before="0" w:after="0"/>
              <w:ind w:firstLine="0"/>
              <w:jc w:val="left"/>
            </w:pPr>
            <w:r>
              <w:rPr>
                <w:rFonts w:ascii="Times New Roman" w:hAnsi="Times New Roman"/>
                <w:sz w:val="22"/>
              </w:rPr>
              <w:t>600k-1.5M EUR</w:t>
            </w:r>
          </w:p>
        </w:tc>
        <w:tc>
          <w:tcPr>
            <w:tcW w:type="dxa" w:w="1542"/>
          </w:tcPr>
          <w:p>
            <w:pPr>
              <w:spacing w:before="0" w:after="0"/>
              <w:ind w:firstLine="0"/>
              <w:jc w:val="left"/>
            </w:pPr>
            <w:r>
              <w:rPr>
                <w:rFonts w:ascii="Times New Roman" w:hAnsi="Times New Roman"/>
                <w:sz w:val="22"/>
              </w:rPr>
              <w:t>Productie electrica dominanta; caldura reziduala industriala recuperata; BCR credits maxim</w:t>
            </w:r>
          </w:p>
        </w:tc>
      </w:tr>
    </w:tbl>
    <w:p>
      <w:pPr>
        <w:ind w:firstLine="0"/>
      </w:pPr>
    </w:p>
    <w:p>
      <w:pPr>
        <w:ind w:firstLine="0"/>
      </w:pPr>
    </w:p>
    <w:p>
      <w:pPr>
        <w:pStyle w:val="SubHeading"/>
        <w:keepNext/>
      </w:pPr>
      <w:r>
        <w:t>7.1 Studiu de caz -- tranzitia de la gen.3 la gen.6 cu 3 hub-uri</w:t>
      </w:r>
    </w:p>
    <w:p>
      <w:pPr>
        <w:ind w:firstLine="0"/>
      </w:pPr>
    </w:p>
    <w:p>
      <w:pPr/>
      <w:r>
        <w:t>Proiectul de modernizare a infrastructurii de termoficare dintr-o localitate rurala montana cu profil forestier-agricol din nordul Transilvaniei (SMIS 327216, Contract 5696/31.12.2025, jud. Bistrita-Nasaud) ilustreaza concret trecerea de la arhitectura conventionala la arhitectura HUB. Valorile tehnice prezentate au caracter estimativ in aceasta faza de optimizare si vor fi confirmate in faza de proiectare tehnica:</w:t>
      </w:r>
    </w:p>
    <w:p>
      <w:pPr/>
      <w:r>
        <w:t>Comparația soluțiilor Gen.3 inițiale cu soluțiile Gen.6 propuse este ilustrată în Tabelul 14.</w:t>
      </w:r>
    </w:p>
    <w:p>
      <w:pPr>
        <w:ind w:firstLine="0"/>
      </w:pPr>
    </w:p>
    <w:p>
      <w:pPr>
        <w:pStyle w:val="TableCaption"/>
      </w:pPr>
      <w:r>
        <w:t>Tabel 14. Comparația soluțiilor Gen.3 inițiale cu soluțiile Gen.6 propuse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Criteriu</w:t>
            </w:r>
          </w:p>
        </w:tc>
        <w:tc>
          <w:tcPr>
            <w:tcW w:type="dxa" w:w="2570"/>
          </w:tcPr>
          <w:p>
            <w:pPr>
              <w:spacing w:before="0" w:after="0"/>
              <w:ind w:firstLine="0"/>
              <w:jc w:val="left"/>
            </w:pPr>
            <w:r>
              <w:rPr>
                <w:rFonts w:ascii="Times New Roman" w:hAnsi="Times New Roman"/>
                <w:b/>
                <w:sz w:val="22"/>
              </w:rPr>
              <w:t>Solutia Gen.3 Initiala</w:t>
            </w:r>
          </w:p>
        </w:tc>
        <w:tc>
          <w:tcPr>
            <w:tcW w:type="dxa" w:w="2570"/>
          </w:tcPr>
          <w:p>
            <w:pPr>
              <w:spacing w:before="0" w:after="0"/>
              <w:ind w:firstLine="0"/>
              <w:jc w:val="left"/>
            </w:pPr>
            <w:r>
              <w:rPr>
                <w:rFonts w:ascii="Times New Roman" w:hAnsi="Times New Roman"/>
                <w:b/>
                <w:sz w:val="22"/>
              </w:rPr>
              <w:t>Solutia Gen.6 cu 3 HUB-uri Propusa</w:t>
            </w:r>
          </w:p>
        </w:tc>
      </w:tr>
      <w:tr>
        <w:tc>
          <w:tcPr>
            <w:tcW w:type="dxa" w:w="2570"/>
          </w:tcPr>
          <w:p>
            <w:pPr>
              <w:spacing w:before="0" w:after="0"/>
              <w:ind w:firstLine="0"/>
              <w:jc w:val="left"/>
            </w:pPr>
            <w:r>
              <w:rPr>
                <w:rFonts w:ascii="Times New Roman" w:hAnsi="Times New Roman"/>
                <w:sz w:val="22"/>
              </w:rPr>
              <w:t>Arhitectura sistem</w:t>
            </w:r>
          </w:p>
        </w:tc>
        <w:tc>
          <w:tcPr>
            <w:tcW w:type="dxa" w:w="2570"/>
          </w:tcPr>
          <w:p>
            <w:pPr>
              <w:spacing w:before="0" w:after="0"/>
              <w:ind w:firstLine="0"/>
              <w:jc w:val="left"/>
            </w:pPr>
            <w:r>
              <w:rPr>
                <w:rFonts w:ascii="Times New Roman" w:hAnsi="Times New Roman"/>
                <w:sz w:val="22"/>
              </w:rPr>
              <w:t>1 centrala termica unica (SPOF total)</w:t>
            </w:r>
          </w:p>
        </w:tc>
        <w:tc>
          <w:tcPr>
            <w:tcW w:type="dxa" w:w="2570"/>
          </w:tcPr>
          <w:p>
            <w:pPr>
              <w:spacing w:before="0" w:after="0"/>
              <w:ind w:firstLine="0"/>
              <w:jc w:val="left"/>
            </w:pPr>
            <w:r>
              <w:rPr>
                <w:rFonts w:ascii="Times New Roman" w:hAnsi="Times New Roman"/>
                <w:sz w:val="22"/>
              </w:rPr>
              <w:t>3 HUB-uri Energetice independente + 3 Micro-Retele Energetice</w:t>
            </w:r>
          </w:p>
        </w:tc>
      </w:tr>
      <w:tr>
        <w:tc>
          <w:tcPr>
            <w:tcW w:type="dxa" w:w="2570"/>
          </w:tcPr>
          <w:p>
            <w:pPr>
              <w:spacing w:before="0" w:after="0"/>
              <w:ind w:firstLine="0"/>
              <w:jc w:val="left"/>
            </w:pPr>
            <w:r>
              <w:rPr>
                <w:rFonts w:ascii="Times New Roman" w:hAnsi="Times New Roman"/>
                <w:sz w:val="22"/>
              </w:rPr>
              <w:t>Generatie DH</w:t>
            </w:r>
          </w:p>
        </w:tc>
        <w:tc>
          <w:tcPr>
            <w:tcW w:type="dxa" w:w="2570"/>
          </w:tcPr>
          <w:p>
            <w:pPr>
              <w:spacing w:before="0" w:after="0"/>
              <w:ind w:firstLine="0"/>
              <w:jc w:val="left"/>
            </w:pPr>
            <w:r>
              <w:rPr>
                <w:rFonts w:ascii="Times New Roman" w:hAnsi="Times New Roman"/>
                <w:sz w:val="22"/>
              </w:rPr>
              <w:t>Generatia 3 (3G, proiectata 2017)</w:t>
            </w:r>
          </w:p>
        </w:tc>
        <w:tc>
          <w:tcPr>
            <w:tcW w:type="dxa" w:w="2570"/>
          </w:tcPr>
          <w:p>
            <w:pPr>
              <w:spacing w:before="0" w:after="0"/>
              <w:ind w:firstLine="0"/>
              <w:jc w:val="left"/>
            </w:pPr>
            <w:r>
              <w:rPr>
                <w:rFonts w:ascii="Times New Roman" w:hAnsi="Times New Roman"/>
                <w:sz w:val="22"/>
              </w:rPr>
              <w:t>Generatia 6 (6G, optimizata 2026)</w:t>
            </w:r>
          </w:p>
        </w:tc>
      </w:tr>
      <w:tr>
        <w:tc>
          <w:tcPr>
            <w:tcW w:type="dxa" w:w="2570"/>
          </w:tcPr>
          <w:p>
            <w:pPr>
              <w:spacing w:before="0" w:after="0"/>
              <w:ind w:firstLine="0"/>
              <w:jc w:val="left"/>
            </w:pPr>
            <w:r>
              <w:rPr>
                <w:rFonts w:ascii="Times New Roman" w:hAnsi="Times New Roman"/>
                <w:sz w:val="22"/>
              </w:rPr>
              <w:t>Retea distributie</w:t>
            </w:r>
          </w:p>
        </w:tc>
        <w:tc>
          <w:tcPr>
            <w:tcW w:type="dxa" w:w="2570"/>
          </w:tcPr>
          <w:p>
            <w:pPr>
              <w:spacing w:before="0" w:after="0"/>
              <w:ind w:firstLine="0"/>
              <w:jc w:val="left"/>
            </w:pPr>
            <w:r>
              <w:rPr>
                <w:rFonts w:ascii="Times New Roman" w:hAnsi="Times New Roman"/>
                <w:sz w:val="22"/>
              </w:rPr>
              <w:t>Termic exclusiv (~980 m lungime)</w:t>
            </w:r>
          </w:p>
        </w:tc>
        <w:tc>
          <w:tcPr>
            <w:tcW w:type="dxa" w:w="2570"/>
          </w:tcPr>
          <w:p>
            <w:pPr>
              <w:spacing w:before="0" w:after="0"/>
              <w:ind w:firstLine="0"/>
              <w:jc w:val="left"/>
            </w:pPr>
            <w:r>
              <w:rPr>
                <w:rFonts w:ascii="Times New Roman" w:hAnsi="Times New Roman"/>
                <w:sz w:val="22"/>
              </w:rPr>
              <w:t>Termic + Electric + Fibra optica (coridor multi-vector)</w:t>
            </w:r>
          </w:p>
        </w:tc>
      </w:tr>
      <w:tr>
        <w:tc>
          <w:tcPr>
            <w:tcW w:type="dxa" w:w="2570"/>
          </w:tcPr>
          <w:p>
            <w:pPr>
              <w:spacing w:before="0" w:after="0"/>
              <w:ind w:firstLine="0"/>
              <w:jc w:val="left"/>
            </w:pPr>
            <w:r>
              <w:rPr>
                <w:rFonts w:ascii="Times New Roman" w:hAnsi="Times New Roman"/>
                <w:sz w:val="22"/>
              </w:rPr>
              <w:t>Cascada termica</w:t>
            </w:r>
          </w:p>
        </w:tc>
        <w:tc>
          <w:tcPr>
            <w:tcW w:type="dxa" w:w="2570"/>
          </w:tcPr>
          <w:p>
            <w:pPr>
              <w:spacing w:before="0" w:after="0"/>
              <w:ind w:firstLine="0"/>
              <w:jc w:val="left"/>
            </w:pPr>
            <w:r>
              <w:rPr>
                <w:rFonts w:ascii="Times New Roman" w:hAnsi="Times New Roman"/>
                <w:sz w:val="22"/>
              </w:rPr>
              <w:t>Absenta (temperatura unica de operare)</w:t>
            </w:r>
          </w:p>
        </w:tc>
        <w:tc>
          <w:tcPr>
            <w:tcW w:type="dxa" w:w="2570"/>
          </w:tcPr>
          <w:p>
            <w:pPr>
              <w:spacing w:before="0" w:after="0"/>
              <w:ind w:firstLine="0"/>
              <w:jc w:val="left"/>
            </w:pPr>
            <w:r>
              <w:rPr>
                <w:rFonts w:ascii="Times New Roman" w:hAnsi="Times New Roman"/>
                <w:sz w:val="22"/>
              </w:rPr>
              <w:t>4 niveluri: 80-90 / 50-65 / 30-45 / 15-25 grade C</w:t>
            </w:r>
          </w:p>
        </w:tc>
      </w:tr>
      <w:tr>
        <w:tc>
          <w:tcPr>
            <w:tcW w:type="dxa" w:w="2570"/>
          </w:tcPr>
          <w:p>
            <w:pPr>
              <w:spacing w:before="0" w:after="0"/>
              <w:ind w:firstLine="0"/>
              <w:jc w:val="left"/>
            </w:pPr>
            <w:r>
              <w:rPr>
                <w:rFonts w:ascii="Times New Roman" w:hAnsi="Times New Roman"/>
                <w:sz w:val="22"/>
              </w:rPr>
              <w:t>Eficienta exergetica</w:t>
            </w:r>
          </w:p>
        </w:tc>
        <w:tc>
          <w:tcPr>
            <w:tcW w:type="dxa" w:w="2570"/>
          </w:tcPr>
          <w:p>
            <w:pPr>
              <w:spacing w:before="0" w:after="0"/>
              <w:ind w:firstLine="0"/>
              <w:jc w:val="left"/>
            </w:pPr>
            <w:r>
              <w:rPr>
                <w:rFonts w:ascii="Times New Roman" w:hAnsi="Times New Roman"/>
                <w:sz w:val="22"/>
              </w:rPr>
              <w:t>~35-45% estimat</w:t>
            </w:r>
          </w:p>
        </w:tc>
        <w:tc>
          <w:tcPr>
            <w:tcW w:type="dxa" w:w="2570"/>
          </w:tcPr>
          <w:p>
            <w:pPr>
              <w:spacing w:before="0" w:after="0"/>
              <w:ind w:firstLine="0"/>
              <w:jc w:val="left"/>
            </w:pPr>
            <w:r>
              <w:rPr>
                <w:rFonts w:ascii="Times New Roman" w:hAnsi="Times New Roman"/>
                <w:sz w:val="22"/>
              </w:rPr>
              <w:t>&gt;=70% prin cascada + Quality Matching automatizat</w:t>
            </w:r>
          </w:p>
        </w:tc>
      </w:tr>
      <w:tr>
        <w:tc>
          <w:tcPr>
            <w:tcW w:type="dxa" w:w="2570"/>
          </w:tcPr>
          <w:p>
            <w:pPr>
              <w:spacing w:before="0" w:after="0"/>
              <w:ind w:firstLine="0"/>
              <w:jc w:val="left"/>
            </w:pPr>
            <w:r>
              <w:rPr>
                <w:rFonts w:ascii="Times New Roman" w:hAnsi="Times New Roman"/>
                <w:sz w:val="22"/>
              </w:rPr>
              <w:t>Pierderi retea</w:t>
            </w:r>
          </w:p>
        </w:tc>
        <w:tc>
          <w:tcPr>
            <w:tcW w:type="dxa" w:w="2570"/>
          </w:tcPr>
          <w:p>
            <w:pPr>
              <w:spacing w:before="0" w:after="0"/>
              <w:ind w:firstLine="0"/>
              <w:jc w:val="left"/>
            </w:pPr>
            <w:r>
              <w:rPr>
                <w:rFonts w:ascii="Times New Roman" w:hAnsi="Times New Roman"/>
                <w:sz w:val="22"/>
              </w:rPr>
              <w:t>Max 10% declarate in SF</w:t>
            </w:r>
          </w:p>
        </w:tc>
        <w:tc>
          <w:tcPr>
            <w:tcW w:type="dxa" w:w="2570"/>
          </w:tcPr>
          <w:p>
            <w:pPr>
              <w:spacing w:before="0" w:after="0"/>
              <w:ind w:firstLine="0"/>
              <w:jc w:val="left"/>
            </w:pPr>
            <w:r>
              <w:rPr>
                <w:rFonts w:ascii="Times New Roman" w:hAnsi="Times New Roman"/>
                <w:sz w:val="22"/>
              </w:rPr>
              <w:t>&lt;=5% (retele scurte, distribuite, pre-izolate)</w:t>
            </w:r>
          </w:p>
        </w:tc>
      </w:tr>
      <w:tr>
        <w:tc>
          <w:tcPr>
            <w:tcW w:type="dxa" w:w="2570"/>
          </w:tcPr>
          <w:p>
            <w:pPr>
              <w:spacing w:before="0" w:after="0"/>
              <w:ind w:firstLine="0"/>
              <w:jc w:val="left"/>
            </w:pPr>
            <w:r>
              <w:rPr>
                <w:rFonts w:ascii="Times New Roman" w:hAnsi="Times New Roman"/>
                <w:sz w:val="22"/>
              </w:rPr>
              <w:t>Stocare</w:t>
            </w:r>
          </w:p>
        </w:tc>
        <w:tc>
          <w:tcPr>
            <w:tcW w:type="dxa" w:w="2570"/>
          </w:tcPr>
          <w:p>
            <w:pPr>
              <w:spacing w:before="0" w:after="0"/>
              <w:ind w:firstLine="0"/>
              <w:jc w:val="left"/>
            </w:pPr>
            <w:r>
              <w:rPr>
                <w:rFonts w:ascii="Times New Roman" w:hAnsi="Times New Roman"/>
                <w:sz w:val="22"/>
              </w:rPr>
              <w:t>Inexistenta</w:t>
            </w:r>
          </w:p>
        </w:tc>
        <w:tc>
          <w:tcPr>
            <w:tcW w:type="dxa" w:w="2570"/>
          </w:tcPr>
          <w:p>
            <w:pPr>
              <w:spacing w:before="0" w:after="0"/>
              <w:ind w:firstLine="0"/>
              <w:jc w:val="left"/>
            </w:pPr>
            <w:r>
              <w:rPr>
                <w:rFonts w:ascii="Times New Roman" w:hAnsi="Times New Roman"/>
                <w:sz w:val="22"/>
              </w:rPr>
              <w:t>3 sisteme stocare HUB (termica cascadata PCM + electrica LFP)</w:t>
            </w:r>
          </w:p>
        </w:tc>
      </w:tr>
      <w:tr>
        <w:tc>
          <w:tcPr>
            <w:tcW w:type="dxa" w:w="2570"/>
          </w:tcPr>
          <w:p>
            <w:pPr>
              <w:spacing w:before="0" w:after="0"/>
              <w:ind w:firstLine="0"/>
              <w:jc w:val="left"/>
            </w:pPr>
            <w:r>
              <w:rPr>
                <w:rFonts w:ascii="Times New Roman" w:hAnsi="Times New Roman"/>
                <w:sz w:val="22"/>
              </w:rPr>
              <w:t>Surse regenerabile</w:t>
            </w:r>
          </w:p>
        </w:tc>
        <w:tc>
          <w:tcPr>
            <w:tcW w:type="dxa" w:w="2570"/>
          </w:tcPr>
          <w:p>
            <w:pPr>
              <w:spacing w:before="0" w:after="0"/>
              <w:ind w:firstLine="0"/>
              <w:jc w:val="left"/>
            </w:pPr>
            <w:r>
              <w:rPr>
                <w:rFonts w:ascii="Times New Roman" w:hAnsi="Times New Roman"/>
                <w:sz w:val="22"/>
              </w:rPr>
              <w:t>Biomasa exclusiv (sursa unica)</w:t>
            </w:r>
          </w:p>
        </w:tc>
        <w:tc>
          <w:tcPr>
            <w:tcW w:type="dxa" w:w="2570"/>
          </w:tcPr>
          <w:p>
            <w:pPr>
              <w:spacing w:before="0" w:after="0"/>
              <w:ind w:firstLine="0"/>
              <w:jc w:val="left"/>
            </w:pPr>
            <w:r>
              <w:rPr>
                <w:rFonts w:ascii="Times New Roman" w:hAnsi="Times New Roman"/>
                <w:sz w:val="22"/>
              </w:rPr>
              <w:t>Biomasa (CHP) + Solar PVT/PV + Eolian vertical-axis</w:t>
            </w:r>
          </w:p>
        </w:tc>
      </w:tr>
      <w:tr>
        <w:tc>
          <w:tcPr>
            <w:tcW w:type="dxa" w:w="2570"/>
          </w:tcPr>
          <w:p>
            <w:pPr>
              <w:spacing w:before="0" w:after="0"/>
              <w:ind w:firstLine="0"/>
              <w:jc w:val="left"/>
            </w:pPr>
            <w:r>
              <w:rPr>
                <w:rFonts w:ascii="Times New Roman" w:hAnsi="Times New Roman"/>
                <w:sz w:val="22"/>
              </w:rPr>
              <w:t>Redundanta</w:t>
            </w:r>
          </w:p>
        </w:tc>
        <w:tc>
          <w:tcPr>
            <w:tcW w:type="dxa" w:w="2570"/>
          </w:tcPr>
          <w:p>
            <w:pPr>
              <w:spacing w:before="0" w:after="0"/>
              <w:ind w:firstLine="0"/>
              <w:jc w:val="left"/>
            </w:pPr>
            <w:r>
              <w:rPr>
                <w:rFonts w:ascii="Times New Roman" w:hAnsi="Times New Roman"/>
                <w:sz w:val="22"/>
              </w:rPr>
              <w:t>Zero -- SPOF complet</w:t>
            </w:r>
          </w:p>
        </w:tc>
        <w:tc>
          <w:tcPr>
            <w:tcW w:type="dxa" w:w="2570"/>
          </w:tcPr>
          <w:p>
            <w:pPr>
              <w:spacing w:before="0" w:after="0"/>
              <w:ind w:firstLine="0"/>
              <w:jc w:val="left"/>
            </w:pPr>
            <w:r>
              <w:rPr>
                <w:rFonts w:ascii="Times New Roman" w:hAnsi="Times New Roman"/>
                <w:sz w:val="22"/>
              </w:rPr>
              <w:t>Tripla: 3 surse independente, island mode &gt;=72h, RM &gt;=20%</w:t>
            </w:r>
          </w:p>
        </w:tc>
      </w:tr>
      <w:tr>
        <w:tc>
          <w:tcPr>
            <w:tcW w:type="dxa" w:w="2570"/>
          </w:tcPr>
          <w:p>
            <w:pPr>
              <w:spacing w:before="0" w:after="0"/>
              <w:ind w:firstLine="0"/>
              <w:jc w:val="left"/>
            </w:pPr>
            <w:r>
              <w:rPr>
                <w:rFonts w:ascii="Times New Roman" w:hAnsi="Times New Roman"/>
                <w:sz w:val="22"/>
              </w:rPr>
              <w:t>Management energetic</w:t>
            </w:r>
          </w:p>
        </w:tc>
        <w:tc>
          <w:tcPr>
            <w:tcW w:type="dxa" w:w="2570"/>
          </w:tcPr>
          <w:p>
            <w:pPr>
              <w:spacing w:before="0" w:after="0"/>
              <w:ind w:firstLine="0"/>
              <w:jc w:val="left"/>
            </w:pPr>
            <w:r>
              <w:rPr>
                <w:rFonts w:ascii="Times New Roman" w:hAnsi="Times New Roman"/>
                <w:sz w:val="22"/>
              </w:rPr>
              <w:t>Absent</w:t>
            </w:r>
          </w:p>
        </w:tc>
        <w:tc>
          <w:tcPr>
            <w:tcW w:type="dxa" w:w="2570"/>
          </w:tcPr>
          <w:p>
            <w:pPr>
              <w:spacing w:before="0" w:after="0"/>
              <w:ind w:firstLine="0"/>
              <w:jc w:val="left"/>
            </w:pPr>
            <w:r>
              <w:rPr>
                <w:rFonts w:ascii="Times New Roman" w:hAnsi="Times New Roman"/>
                <w:sz w:val="22"/>
              </w:rPr>
              <w:t>EMS AI + Digital Twin + AssetHealth + ScenarioLab</w:t>
            </w:r>
          </w:p>
        </w:tc>
      </w:tr>
      <w:tr>
        <w:tc>
          <w:tcPr>
            <w:tcW w:type="dxa" w:w="2570"/>
          </w:tcPr>
          <w:p>
            <w:pPr>
              <w:spacing w:before="0" w:after="0"/>
              <w:ind w:firstLine="0"/>
              <w:jc w:val="left"/>
            </w:pPr>
            <w:r>
              <w:rPr>
                <w:rFonts w:ascii="Times New Roman" w:hAnsi="Times New Roman"/>
                <w:sz w:val="22"/>
              </w:rPr>
              <w:t>Sechestrare carbon</w:t>
            </w:r>
          </w:p>
        </w:tc>
        <w:tc>
          <w:tcPr>
            <w:tcW w:type="dxa" w:w="2570"/>
          </w:tcPr>
          <w:p>
            <w:pPr>
              <w:spacing w:before="0" w:after="0"/>
              <w:ind w:firstLine="0"/>
              <w:jc w:val="left"/>
            </w:pPr>
            <w:r>
              <w:rPr>
                <w:rFonts w:ascii="Times New Roman" w:hAnsi="Times New Roman"/>
                <w:sz w:val="22"/>
              </w:rPr>
              <w:t>Neintegrata</w:t>
            </w:r>
          </w:p>
        </w:tc>
        <w:tc>
          <w:tcPr>
            <w:tcW w:type="dxa" w:w="2570"/>
          </w:tcPr>
          <w:p>
            <w:pPr>
              <w:spacing w:before="0" w:after="0"/>
              <w:ind w:firstLine="0"/>
              <w:jc w:val="left"/>
            </w:pPr>
            <w:r>
              <w:rPr>
                <w:rFonts w:ascii="Times New Roman" w:hAnsi="Times New Roman"/>
                <w:sz w:val="22"/>
              </w:rPr>
              <w:t>Sistem Recuperare Biochar -- carbon negativitate comunitara</w:t>
            </w:r>
          </w:p>
        </w:tc>
      </w:tr>
      <w:tr>
        <w:tc>
          <w:tcPr>
            <w:tcW w:type="dxa" w:w="2570"/>
          </w:tcPr>
          <w:p>
            <w:pPr>
              <w:spacing w:before="0" w:after="0"/>
              <w:ind w:firstLine="0"/>
              <w:jc w:val="left"/>
            </w:pPr>
            <w:r>
              <w:rPr>
                <w:rFonts w:ascii="Times New Roman" w:hAnsi="Times New Roman"/>
                <w:sz w:val="22"/>
              </w:rPr>
              <w:t>Modularitate</w:t>
            </w:r>
          </w:p>
        </w:tc>
        <w:tc>
          <w:tcPr>
            <w:tcW w:type="dxa" w:w="2570"/>
          </w:tcPr>
          <w:p>
            <w:pPr>
              <w:spacing w:before="0" w:after="0"/>
              <w:ind w:firstLine="0"/>
              <w:jc w:val="left"/>
            </w:pPr>
            <w:r>
              <w:rPr>
                <w:rFonts w:ascii="Times New Roman" w:hAnsi="Times New Roman"/>
                <w:sz w:val="22"/>
              </w:rPr>
              <w:t>Monolitica (constructie dedicata)</w:t>
            </w:r>
          </w:p>
        </w:tc>
        <w:tc>
          <w:tcPr>
            <w:tcW w:type="dxa" w:w="2570"/>
          </w:tcPr>
          <w:p>
            <w:pPr>
              <w:spacing w:before="0" w:after="0"/>
              <w:ind w:firstLine="0"/>
              <w:jc w:val="left"/>
            </w:pPr>
            <w:r>
              <w:rPr>
                <w:rFonts w:ascii="Times New Roman" w:hAnsi="Times New Roman"/>
                <w:sz w:val="22"/>
              </w:rPr>
              <w:t>Plug-and-play: Containere Energetice prefabricate ISO 668</w:t>
            </w:r>
          </w:p>
        </w:tc>
      </w:tr>
    </w:tbl>
    <w:p>
      <w:pPr>
        <w:ind w:firstLine="0"/>
      </w:pPr>
    </w:p>
    <w:p>
      <w:pPr>
        <w:ind w:firstLine="0"/>
      </w:pPr>
    </w:p>
    <w:p>
      <w:pPr>
        <w:pStyle w:val="ChapterHeading"/>
        <w:keepNext/>
      </w:pPr>
      <w:r>
        <w:t>8. Inovatii si Protectia Proprietatii Intelectuale -- 34+ Inovatii Catalogate</w:t>
      </w:r>
    </w:p>
    <w:p>
      <w:pPr>
        <w:ind w:firstLine="0"/>
      </w:pPr>
    </w:p>
    <w:p>
      <w:pPr/>
      <w:r>
        <w:t>Exergy HUB concentreaza 34+ inovatii distincte catalogate pe 5 tipuri de disruptivitate, acoperind intregul spectru de la frontiera cunoasterii la implementarea imediata pe piata:</w:t>
      </w:r>
    </w:p>
    <w:p>
      <w:pPr>
        <w:ind w:firstLine="0"/>
      </w:pPr>
    </w:p>
    <w:p>
      <w:pPr>
        <w:pStyle w:val="SubHeading"/>
        <w:keepNext/>
      </w:pPr>
      <w:r>
        <w:t>8.1 Inovatii de ruptura (5+ inovatii -- disruptivitate maxima)</w:t>
      </w:r>
    </w:p>
    <w:p>
      <w:pPr>
        <w:ind w:firstLine="0"/>
      </w:pPr>
    </w:p>
    <w:p>
      <w:pPr/>
      <w:r>
        <w:t>Inovațiile de ruptură și potențialul de protecție IP sunt sistematizate în Tabelul 15.</w:t>
      </w:r>
    </w:p>
    <w:p>
      <w:pPr>
        <w:ind w:firstLine="0"/>
      </w:pPr>
    </w:p>
    <w:p>
      <w:pPr>
        <w:pStyle w:val="TableCaption"/>
      </w:pPr>
      <w:r>
        <w:t>Tabel 15. Inovațiile de ruptură și potențialul de protecție IP</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Cod</w:t>
            </w:r>
          </w:p>
        </w:tc>
        <w:tc>
          <w:tcPr>
            <w:tcW w:type="dxa" w:w="1927"/>
          </w:tcPr>
          <w:p>
            <w:pPr>
              <w:spacing w:before="0" w:after="0"/>
              <w:ind w:firstLine="0"/>
              <w:jc w:val="left"/>
            </w:pPr>
            <w:r>
              <w:rPr>
                <w:rFonts w:ascii="Times New Roman" w:hAnsi="Times New Roman"/>
                <w:b/>
                <w:sz w:val="22"/>
              </w:rPr>
              <w:t>Inovatia de Ruptura</w:t>
            </w:r>
          </w:p>
        </w:tc>
        <w:tc>
          <w:tcPr>
            <w:tcW w:type="dxa" w:w="1927"/>
          </w:tcPr>
          <w:p>
            <w:pPr>
              <w:spacing w:before="0" w:after="0"/>
              <w:ind w:firstLine="0"/>
              <w:jc w:val="left"/>
            </w:pPr>
            <w:r>
              <w:rPr>
                <w:rFonts w:ascii="Times New Roman" w:hAnsi="Times New Roman"/>
                <w:b/>
                <w:sz w:val="22"/>
              </w:rPr>
              <w:t>Justificarea Noutatii Absolute</w:t>
            </w:r>
          </w:p>
        </w:tc>
        <w:tc>
          <w:tcPr>
            <w:tcW w:type="dxa" w:w="1927"/>
          </w:tcPr>
          <w:p>
            <w:pPr>
              <w:spacing w:before="0" w:after="0"/>
              <w:ind w:firstLine="0"/>
              <w:jc w:val="left"/>
            </w:pPr>
            <w:r>
              <w:rPr>
                <w:rFonts w:ascii="Times New Roman" w:hAnsi="Times New Roman"/>
                <w:b/>
                <w:sz w:val="22"/>
              </w:rPr>
              <w:t>Potentialul de Protectie IP</w:t>
            </w:r>
          </w:p>
        </w:tc>
      </w:tr>
      <w:tr>
        <w:tc>
          <w:tcPr>
            <w:tcW w:type="dxa" w:w="1927"/>
          </w:tcPr>
          <w:p>
            <w:pPr>
              <w:spacing w:before="0" w:after="0"/>
              <w:ind w:firstLine="0"/>
              <w:jc w:val="left"/>
            </w:pPr>
            <w:r>
              <w:rPr>
                <w:rFonts w:ascii="Times New Roman" w:hAnsi="Times New Roman"/>
                <w:sz w:val="22"/>
              </w:rPr>
              <w:t>I-R1</w:t>
            </w:r>
          </w:p>
        </w:tc>
        <w:tc>
          <w:tcPr>
            <w:tcW w:type="dxa" w:w="1927"/>
          </w:tcPr>
          <w:p>
            <w:pPr>
              <w:spacing w:before="0" w:after="0"/>
              <w:ind w:firstLine="0"/>
              <w:jc w:val="left"/>
            </w:pPr>
            <w:r>
              <w:rPr>
                <w:rFonts w:ascii="Times New Roman" w:hAnsi="Times New Roman"/>
                <w:sz w:val="22"/>
              </w:rPr>
              <w:t>Arhitectura modulara multi-Box cu cascada termodinamica inter-Box</w:t>
            </w:r>
          </w:p>
        </w:tc>
        <w:tc>
          <w:tcPr>
            <w:tcW w:type="dxa" w:w="1927"/>
          </w:tcPr>
          <w:p>
            <w:pPr>
              <w:spacing w:before="0" w:after="0"/>
              <w:ind w:firstLine="0"/>
              <w:jc w:val="left"/>
            </w:pPr>
            <w:r>
              <w:rPr>
                <w:rFonts w:ascii="Times New Roman" w:hAnsi="Times New Roman"/>
                <w:sz w:val="22"/>
              </w:rPr>
              <w:t>Nicio infrastructura energetica comerciala actuala nu combina containerizare ISO plug-and-play cu cascada termodinamica pe 4 niveluri intre Box-uri distincte si dispatch AI integrat. Creeaza categoria industriala noua: nodul energetic comunitar modular.</w:t>
            </w:r>
          </w:p>
        </w:tc>
        <w:tc>
          <w:tcPr>
            <w:tcW w:type="dxa" w:w="1927"/>
          </w:tcPr>
          <w:p>
            <w:pPr>
              <w:spacing w:before="0" w:after="0"/>
              <w:ind w:firstLine="0"/>
              <w:jc w:val="left"/>
            </w:pPr>
            <w:r>
              <w:rPr>
                <w:rFonts w:ascii="Times New Roman" w:hAnsi="Times New Roman"/>
                <w:sz w:val="22"/>
              </w:rPr>
              <w:t>Brevet de inventie (arhitectura sistem)</w:t>
            </w:r>
          </w:p>
        </w:tc>
      </w:tr>
      <w:tr>
        <w:tc>
          <w:tcPr>
            <w:tcW w:type="dxa" w:w="1927"/>
          </w:tcPr>
          <w:p>
            <w:pPr>
              <w:spacing w:before="0" w:after="0"/>
              <w:ind w:firstLine="0"/>
              <w:jc w:val="left"/>
            </w:pPr>
            <w:r>
              <w:rPr>
                <w:rFonts w:ascii="Times New Roman" w:hAnsi="Times New Roman"/>
                <w:sz w:val="22"/>
              </w:rPr>
              <w:t>I-R2</w:t>
            </w:r>
          </w:p>
        </w:tc>
        <w:tc>
          <w:tcPr>
            <w:tcW w:type="dxa" w:w="1927"/>
          </w:tcPr>
          <w:p>
            <w:pPr>
              <w:spacing w:before="0" w:after="0"/>
              <w:ind w:firstLine="0"/>
              <w:jc w:val="left"/>
            </w:pPr>
            <w:r>
              <w:rPr>
                <w:rFonts w:ascii="Times New Roman" w:hAnsi="Times New Roman"/>
                <w:sz w:val="22"/>
              </w:rPr>
              <w:t>Quality Matching automatizat in timp real (&lt;100ms)</w:t>
            </w:r>
          </w:p>
        </w:tc>
        <w:tc>
          <w:tcPr>
            <w:tcW w:type="dxa" w:w="1927"/>
          </w:tcPr>
          <w:p>
            <w:pPr>
              <w:spacing w:before="0" w:after="0"/>
              <w:ind w:firstLine="0"/>
              <w:jc w:val="left"/>
            </w:pPr>
            <w:r>
              <w:rPr>
                <w:rFonts w:ascii="Times New Roman" w:hAnsi="Times New Roman"/>
                <w:sz w:val="22"/>
              </w:rPr>
              <w:t>Algoritm care asigura automat sursa exergetica optima (calitate minima suficienta) pentru fiecare cerinta de consum. Detecteaza si blocheaza vandalism termodinamic in &lt;100ms. Nicio implementare comerciala echivalenta.</w:t>
            </w:r>
          </w:p>
        </w:tc>
        <w:tc>
          <w:tcPr>
            <w:tcW w:type="dxa" w:w="1927"/>
          </w:tcPr>
          <w:p>
            <w:pPr>
              <w:spacing w:before="0" w:after="0"/>
              <w:ind w:firstLine="0"/>
              <w:jc w:val="left"/>
            </w:pPr>
            <w:r>
              <w:rPr>
                <w:rFonts w:ascii="Times New Roman" w:hAnsi="Times New Roman"/>
                <w:sz w:val="22"/>
              </w:rPr>
              <w:t>Brevet de inventie (algoritm + sistem)</w:t>
            </w:r>
          </w:p>
        </w:tc>
      </w:tr>
      <w:tr>
        <w:tc>
          <w:tcPr>
            <w:tcW w:type="dxa" w:w="1927"/>
          </w:tcPr>
          <w:p>
            <w:pPr>
              <w:spacing w:before="0" w:after="0"/>
              <w:ind w:firstLine="0"/>
              <w:jc w:val="left"/>
            </w:pPr>
            <w:r>
              <w:rPr>
                <w:rFonts w:ascii="Times New Roman" w:hAnsi="Times New Roman"/>
                <w:sz w:val="22"/>
              </w:rPr>
              <w:t>I-R3</w:t>
            </w:r>
          </w:p>
        </w:tc>
        <w:tc>
          <w:tcPr>
            <w:tcW w:type="dxa" w:w="1927"/>
          </w:tcPr>
          <w:p>
            <w:pPr>
              <w:spacing w:before="0" w:after="0"/>
              <w:ind w:firstLine="0"/>
              <w:jc w:val="left"/>
            </w:pPr>
            <w:r>
              <w:rPr>
                <w:rFonts w:ascii="Times New Roman" w:hAnsi="Times New Roman"/>
                <w:sz w:val="22"/>
              </w:rPr>
              <w:t>Organ energetic N2 cu proprietati emergente verificabile</w:t>
            </w:r>
          </w:p>
        </w:tc>
        <w:tc>
          <w:tcPr>
            <w:tcW w:type="dxa" w:w="1927"/>
          </w:tcPr>
          <w:p>
            <w:pPr>
              <w:spacing w:before="0" w:after="0"/>
              <w:ind w:firstLine="0"/>
              <w:jc w:val="left"/>
            </w:pPr>
            <w:r>
              <w:rPr>
                <w:rFonts w:ascii="Times New Roman" w:hAnsi="Times New Roman"/>
                <w:sz w:val="22"/>
              </w:rPr>
              <w:t>Conceptul HUB ca nivel ierarhic cu proprietati emergente (η_ex HUB &gt; suma η_ex Box-uri individuale) este o ruptura paradigmatica fata de abordarea conventionala a agregatului de echipamente.</w:t>
            </w:r>
          </w:p>
        </w:tc>
        <w:tc>
          <w:tcPr>
            <w:tcW w:type="dxa" w:w="1927"/>
          </w:tcPr>
          <w:p>
            <w:pPr>
              <w:spacing w:before="0" w:after="0"/>
              <w:ind w:firstLine="0"/>
              <w:jc w:val="left"/>
            </w:pPr>
            <w:r>
              <w:rPr>
                <w:rFonts w:ascii="Times New Roman" w:hAnsi="Times New Roman"/>
                <w:sz w:val="22"/>
              </w:rPr>
              <w:t>Brevet conceptual + know-how doctrinar</w:t>
            </w:r>
          </w:p>
        </w:tc>
      </w:tr>
      <w:tr>
        <w:tc>
          <w:tcPr>
            <w:tcW w:type="dxa" w:w="1927"/>
          </w:tcPr>
          <w:p>
            <w:pPr>
              <w:spacing w:before="0" w:after="0"/>
              <w:ind w:firstLine="0"/>
              <w:jc w:val="left"/>
            </w:pPr>
            <w:r>
              <w:rPr>
                <w:rFonts w:ascii="Times New Roman" w:hAnsi="Times New Roman"/>
                <w:sz w:val="22"/>
              </w:rPr>
              <w:t>I-R4</w:t>
            </w:r>
          </w:p>
        </w:tc>
        <w:tc>
          <w:tcPr>
            <w:tcW w:type="dxa" w:w="1927"/>
          </w:tcPr>
          <w:p>
            <w:pPr>
              <w:spacing w:before="0" w:after="0"/>
              <w:ind w:firstLine="0"/>
              <w:jc w:val="left"/>
            </w:pPr>
            <w:r>
              <w:rPr>
                <w:rFonts w:ascii="Times New Roman" w:hAnsi="Times New Roman"/>
                <w:sz w:val="22"/>
              </w:rPr>
              <w:t>Stocare termica stratificata multi-nivel in HUB</w:t>
            </w:r>
          </w:p>
        </w:tc>
        <w:tc>
          <w:tcPr>
            <w:tcW w:type="dxa" w:w="1927"/>
          </w:tcPr>
          <w:p>
            <w:pPr>
              <w:spacing w:before="0" w:after="0"/>
              <w:ind w:firstLine="0"/>
              <w:jc w:val="left"/>
            </w:pPr>
            <w:r>
              <w:rPr>
                <w:rFonts w:ascii="Times New Roman" w:hAnsi="Times New Roman"/>
                <w:sz w:val="22"/>
              </w:rPr>
              <w:t>Sistem de stocare diferentiat pe 3+ niveluri de temperatura cu dispatch AI care optimizeaza incarcarea/descarcarea fiecarui nivel independent, fara amestec termic intre niveluri.</w:t>
            </w:r>
          </w:p>
        </w:tc>
        <w:tc>
          <w:tcPr>
            <w:tcW w:type="dxa" w:w="1927"/>
          </w:tcPr>
          <w:p>
            <w:pPr>
              <w:spacing w:before="0" w:after="0"/>
              <w:ind w:firstLine="0"/>
              <w:jc w:val="left"/>
            </w:pPr>
            <w:r>
              <w:rPr>
                <w:rFonts w:ascii="Times New Roman" w:hAnsi="Times New Roman"/>
                <w:sz w:val="22"/>
              </w:rPr>
              <w:t>Brevet de inventie (sistem stocare)</w:t>
            </w:r>
          </w:p>
        </w:tc>
      </w:tr>
      <w:tr>
        <w:tc>
          <w:tcPr>
            <w:tcW w:type="dxa" w:w="1927"/>
          </w:tcPr>
          <w:p>
            <w:pPr>
              <w:spacing w:before="0" w:after="0"/>
              <w:ind w:firstLine="0"/>
              <w:jc w:val="left"/>
            </w:pPr>
            <w:r>
              <w:rPr>
                <w:rFonts w:ascii="Times New Roman" w:hAnsi="Times New Roman"/>
                <w:sz w:val="22"/>
              </w:rPr>
              <w:t>I-R5</w:t>
            </w:r>
          </w:p>
        </w:tc>
        <w:tc>
          <w:tcPr>
            <w:tcW w:type="dxa" w:w="1927"/>
          </w:tcPr>
          <w:p>
            <w:pPr>
              <w:spacing w:before="0" w:after="0"/>
              <w:ind w:firstLine="0"/>
              <w:jc w:val="left"/>
            </w:pPr>
            <w:r>
              <w:rPr>
                <w:rFonts w:ascii="Times New Roman" w:hAnsi="Times New Roman"/>
                <w:sz w:val="22"/>
              </w:rPr>
              <w:t>Box relocabil recondiitionat pentru solidaritate energetica</w:t>
            </w:r>
          </w:p>
        </w:tc>
        <w:tc>
          <w:tcPr>
            <w:tcW w:type="dxa" w:w="1927"/>
          </w:tcPr>
          <w:p>
            <w:pPr>
              <w:spacing w:before="0" w:after="0"/>
              <w:ind w:firstLine="0"/>
              <w:jc w:val="left"/>
            </w:pPr>
            <w:r>
              <w:rPr>
                <w:rFonts w:ascii="Times New Roman" w:hAnsi="Times New Roman"/>
                <w:sz w:val="22"/>
              </w:rPr>
              <w:t>Procedura standardizata de deconectare, transport, recondiitionare si reinstalare a unui Box in alta comunitate. Infrastructura energetica ca bun reciclabil social -- fara precedent in domeniu.</w:t>
            </w:r>
          </w:p>
        </w:tc>
        <w:tc>
          <w:tcPr>
            <w:tcW w:type="dxa" w:w="1927"/>
          </w:tcPr>
          <w:p>
            <w:pPr>
              <w:spacing w:before="0" w:after="0"/>
              <w:ind w:firstLine="0"/>
              <w:jc w:val="left"/>
            </w:pPr>
            <w:r>
              <w:rPr>
                <w:rFonts w:ascii="Times New Roman" w:hAnsi="Times New Roman"/>
                <w:sz w:val="22"/>
              </w:rPr>
              <w:t>Know-how + Procedura certificabila</w:t>
            </w:r>
          </w:p>
        </w:tc>
      </w:tr>
    </w:tbl>
    <w:p>
      <w:pPr>
        <w:ind w:firstLine="0"/>
      </w:pPr>
    </w:p>
    <w:p>
      <w:pPr>
        <w:ind w:firstLine="0"/>
      </w:pPr>
    </w:p>
    <w:p>
      <w:pPr>
        <w:pStyle w:val="SubHeading"/>
        <w:keepNext/>
      </w:pPr>
      <w:r>
        <w:t>8.2 Inovatii de produs, proces si tehnologii emergente (29+ inovatii)</w:t>
      </w:r>
    </w:p>
    <w:p>
      <w:pPr>
        <w:ind w:firstLine="0"/>
      </w:pPr>
    </w:p>
    <w:p>
      <w:pPr/>
      <w:r>
        <w:t>Tipurile de inovații și alinierea cu strategiile UE se regăsesc în Tabelul 16.</w:t>
      </w:r>
    </w:p>
    <w:p>
      <w:pPr>
        <w:ind w:firstLine="0"/>
      </w:pPr>
    </w:p>
    <w:p>
      <w:pPr>
        <w:pStyle w:val="TableCaption"/>
      </w:pPr>
      <w:r>
        <w:t>Tabel 16. Tipurile de inovații și alinierea cu strategiile UE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Tip Inovatii</w:t>
            </w:r>
          </w:p>
        </w:tc>
        <w:tc>
          <w:tcPr>
            <w:tcW w:type="dxa" w:w="1927"/>
          </w:tcPr>
          <w:p>
            <w:pPr>
              <w:spacing w:before="0" w:after="0"/>
              <w:ind w:firstLine="0"/>
              <w:jc w:val="left"/>
            </w:pPr>
            <w:r>
              <w:rPr>
                <w:rFonts w:ascii="Times New Roman" w:hAnsi="Times New Roman"/>
                <w:b/>
                <w:sz w:val="22"/>
              </w:rPr>
              <w:t>Nivel Disruptivitate</w:t>
            </w:r>
          </w:p>
        </w:tc>
        <w:tc>
          <w:tcPr>
            <w:tcW w:type="dxa" w:w="1927"/>
          </w:tcPr>
          <w:p>
            <w:pPr>
              <w:spacing w:before="0" w:after="0"/>
              <w:ind w:firstLine="0"/>
              <w:jc w:val="left"/>
            </w:pPr>
            <w:r>
              <w:rPr>
                <w:rFonts w:ascii="Times New Roman" w:hAnsi="Times New Roman"/>
                <w:b/>
                <w:sz w:val="22"/>
              </w:rPr>
              <w:t>Exemple si Descriere</w:t>
            </w:r>
          </w:p>
        </w:tc>
        <w:tc>
          <w:tcPr>
            <w:tcW w:type="dxa" w:w="1927"/>
          </w:tcPr>
          <w:p>
            <w:pPr>
              <w:spacing w:before="0" w:after="0"/>
              <w:ind w:firstLine="0"/>
              <w:jc w:val="left"/>
            </w:pPr>
            <w:r>
              <w:rPr>
                <w:rFonts w:ascii="Times New Roman" w:hAnsi="Times New Roman"/>
                <w:b/>
                <w:sz w:val="22"/>
              </w:rPr>
              <w:t>Aliniere Strategii UE</w:t>
            </w:r>
          </w:p>
        </w:tc>
      </w:tr>
      <w:tr>
        <w:tc>
          <w:tcPr>
            <w:tcW w:type="dxa" w:w="1927"/>
          </w:tcPr>
          <w:p>
            <w:pPr>
              <w:spacing w:before="0" w:after="0"/>
              <w:ind w:firstLine="0"/>
              <w:jc w:val="left"/>
            </w:pPr>
            <w:r>
              <w:rPr>
                <w:rFonts w:ascii="Times New Roman" w:hAnsi="Times New Roman"/>
                <w:sz w:val="22"/>
              </w:rPr>
              <w:t>Inovatii de Produs (7+)</w:t>
            </w:r>
          </w:p>
        </w:tc>
        <w:tc>
          <w:tcPr>
            <w:tcW w:type="dxa" w:w="1927"/>
          </w:tcPr>
          <w:p>
            <w:pPr>
              <w:spacing w:before="0" w:after="0"/>
              <w:ind w:firstLine="0"/>
              <w:jc w:val="left"/>
            </w:pPr>
            <w:r>
              <w:rPr>
                <w:rFonts w:ascii="Times New Roman" w:hAnsi="Times New Roman"/>
                <w:sz w:val="22"/>
              </w:rPr>
              <w:t>RIDICAT</w:t>
            </w:r>
          </w:p>
        </w:tc>
        <w:tc>
          <w:tcPr>
            <w:tcW w:type="dxa" w:w="1927"/>
          </w:tcPr>
          <w:p>
            <w:pPr>
              <w:spacing w:before="0" w:after="0"/>
              <w:ind w:firstLine="0"/>
              <w:jc w:val="left"/>
            </w:pPr>
            <w:r>
              <w:rPr>
                <w:rFonts w:ascii="Times New Roman" w:hAnsi="Times New Roman"/>
                <w:sz w:val="22"/>
              </w:rPr>
              <w:t>EB-EMS cu ScenarioLab (50+ template-uri); AssetHealth dual-level (Modul+Box); Digital Twin multi-Box cu acuratete &gt;=95%; SymbiotyX Pod standardizat pe container; Nexus Box Interface pentru 5 sectoare teritoriale</w:t>
            </w:r>
          </w:p>
        </w:tc>
        <w:tc>
          <w:tcPr>
            <w:tcW w:type="dxa" w:w="1927"/>
          </w:tcPr>
          <w:p>
            <w:pPr>
              <w:spacing w:before="0" w:after="0"/>
              <w:ind w:firstLine="0"/>
              <w:jc w:val="left"/>
            </w:pPr>
            <w:r>
              <w:rPr>
                <w:rFonts w:ascii="Times New Roman" w:hAnsi="Times New Roman"/>
                <w:sz w:val="22"/>
              </w:rPr>
              <w:t>RED III, EPBD, EU Taxonomy, Energy Communities Directive</w:t>
            </w:r>
          </w:p>
        </w:tc>
      </w:tr>
      <w:tr>
        <w:tc>
          <w:tcPr>
            <w:tcW w:type="dxa" w:w="1927"/>
          </w:tcPr>
          <w:p>
            <w:pPr>
              <w:spacing w:before="0" w:after="0"/>
              <w:ind w:firstLine="0"/>
              <w:jc w:val="left"/>
            </w:pPr>
            <w:r>
              <w:rPr>
                <w:rFonts w:ascii="Times New Roman" w:hAnsi="Times New Roman"/>
                <w:sz w:val="22"/>
              </w:rPr>
              <w:t>Inovatii de Proces (7+)</w:t>
            </w:r>
          </w:p>
        </w:tc>
        <w:tc>
          <w:tcPr>
            <w:tcW w:type="dxa" w:w="1927"/>
          </w:tcPr>
          <w:p>
            <w:pPr>
              <w:spacing w:before="0" w:after="0"/>
              <w:ind w:firstLine="0"/>
              <w:jc w:val="left"/>
            </w:pPr>
            <w:r>
              <w:rPr>
                <w:rFonts w:ascii="Times New Roman" w:hAnsi="Times New Roman"/>
                <w:sz w:val="22"/>
              </w:rPr>
              <w:t>RIDICAT</w:t>
            </w:r>
          </w:p>
        </w:tc>
        <w:tc>
          <w:tcPr>
            <w:tcW w:type="dxa" w:w="1927"/>
          </w:tcPr>
          <w:p>
            <w:pPr>
              <w:spacing w:before="0" w:after="0"/>
              <w:ind w:firstLine="0"/>
              <w:jc w:val="left"/>
            </w:pPr>
            <w:r>
              <w:rPr>
                <w:rFonts w:ascii="Times New Roman" w:hAnsi="Times New Roman"/>
                <w:sz w:val="22"/>
              </w:rPr>
              <w:t>Plug-and-play &lt;=5 zile/Box (vs. 6-24 luni constructie); FAT standardizat in fabrica; AI exergy dispatch ierarhic; SymbiotyX fertiirigare automata EMS; relocare Box cu recondiitionare; instalare tehnicieni certificati 3 zile</w:t>
            </w:r>
          </w:p>
        </w:tc>
        <w:tc>
          <w:tcPr>
            <w:tcW w:type="dxa" w:w="1927"/>
          </w:tcPr>
          <w:p>
            <w:pPr>
              <w:spacing w:before="0" w:after="0"/>
              <w:ind w:firstLine="0"/>
              <w:jc w:val="left"/>
            </w:pPr>
            <w:r>
              <w:rPr>
                <w:rFonts w:ascii="Times New Roman" w:hAnsi="Times New Roman"/>
                <w:sz w:val="22"/>
              </w:rPr>
              <w:t>New Industrial Strategy, Circular Economy, Digital Europe</w:t>
            </w:r>
          </w:p>
        </w:tc>
      </w:tr>
      <w:tr>
        <w:tc>
          <w:tcPr>
            <w:tcW w:type="dxa" w:w="1927"/>
          </w:tcPr>
          <w:p>
            <w:pPr>
              <w:spacing w:before="0" w:after="0"/>
              <w:ind w:firstLine="0"/>
              <w:jc w:val="left"/>
            </w:pPr>
            <w:r>
              <w:rPr>
                <w:rFonts w:ascii="Times New Roman" w:hAnsi="Times New Roman"/>
                <w:sz w:val="22"/>
              </w:rPr>
              <w:t>Tehnologii Emergente (7+, TRL 4-7)</w:t>
            </w:r>
          </w:p>
        </w:tc>
        <w:tc>
          <w:tcPr>
            <w:tcW w:type="dxa" w:w="1927"/>
          </w:tcPr>
          <w:p>
            <w:pPr>
              <w:spacing w:before="0" w:after="0"/>
              <w:ind w:firstLine="0"/>
              <w:jc w:val="left"/>
            </w:pPr>
            <w:r>
              <w:rPr>
                <w:rFonts w:ascii="Times New Roman" w:hAnsi="Times New Roman"/>
                <w:sz w:val="22"/>
              </w:rPr>
              <w:t>MEDIU-RIDICAT</w:t>
            </w:r>
          </w:p>
        </w:tc>
        <w:tc>
          <w:tcPr>
            <w:tcW w:type="dxa" w:w="1927"/>
          </w:tcPr>
          <w:p>
            <w:pPr>
              <w:spacing w:before="0" w:after="0"/>
              <w:ind w:firstLine="0"/>
              <w:jc w:val="left"/>
            </w:pPr>
            <w:r>
              <w:rPr>
                <w:rFonts w:ascii="Times New Roman" w:hAnsi="Times New Roman"/>
                <w:sz w:val="22"/>
              </w:rPr>
              <w:t>SynTech gazeificare (biomasa/SRF); Copaci Energetici Aeroleaf (&lt;25 dB); baterii flux vanadiu (20.000+ cicluri); SOFC pe syngaz; Sport-to-Energy piezo/EM; BTES sezonier; PVT BIPV pe fatade</w:t>
            </w:r>
          </w:p>
        </w:tc>
        <w:tc>
          <w:tcPr>
            <w:tcW w:type="dxa" w:w="1927"/>
          </w:tcPr>
          <w:p>
            <w:pPr>
              <w:spacing w:before="0" w:after="0"/>
              <w:ind w:firstLine="0"/>
              <w:jc w:val="left"/>
            </w:pPr>
            <w:r>
              <w:rPr>
                <w:rFonts w:ascii="Times New Roman" w:hAnsi="Times New Roman"/>
                <w:sz w:val="22"/>
              </w:rPr>
              <w:t>Horizon Europe, Innovation Fund, IPCEI, Just Transition</w:t>
            </w:r>
          </w:p>
        </w:tc>
      </w:tr>
      <w:tr>
        <w:tc>
          <w:tcPr>
            <w:tcW w:type="dxa" w:w="1927"/>
          </w:tcPr>
          <w:p>
            <w:pPr>
              <w:spacing w:before="0" w:after="0"/>
              <w:ind w:firstLine="0"/>
              <w:jc w:val="left"/>
            </w:pPr>
            <w:r>
              <w:rPr>
                <w:rFonts w:ascii="Times New Roman" w:hAnsi="Times New Roman"/>
                <w:sz w:val="22"/>
              </w:rPr>
              <w:t>Tehnologii de Varf (8+, frontiera)</w:t>
            </w:r>
          </w:p>
        </w:tc>
        <w:tc>
          <w:tcPr>
            <w:tcW w:type="dxa" w:w="1927"/>
          </w:tcPr>
          <w:p>
            <w:pPr>
              <w:spacing w:before="0" w:after="0"/>
              <w:ind w:firstLine="0"/>
              <w:jc w:val="left"/>
            </w:pPr>
            <w:r>
              <w:rPr>
                <w:rFonts w:ascii="Times New Roman" w:hAnsi="Times New Roman"/>
                <w:sz w:val="22"/>
              </w:rPr>
              <w:t>RIDICAT</w:t>
            </w:r>
          </w:p>
        </w:tc>
        <w:tc>
          <w:tcPr>
            <w:tcW w:type="dxa" w:w="1927"/>
          </w:tcPr>
          <w:p>
            <w:pPr>
              <w:spacing w:before="0" w:after="0"/>
              <w:ind w:firstLine="0"/>
              <w:jc w:val="left"/>
            </w:pPr>
            <w:r>
              <w:rPr>
                <w:rFonts w:ascii="Times New Roman" w:hAnsi="Times New Roman"/>
                <w:sz w:val="22"/>
              </w:rPr>
              <w:t>AI/ML exergy dispatch (LSTM/GRU + Isolation Forest); Digital Twin comunitar cu acuratete &gt;=95%; V2G ISO 15118 bidirectional; blockchain energetica pentru tokeni; Holistic Aggregator 13+ vectori simultani</w:t>
            </w:r>
          </w:p>
        </w:tc>
        <w:tc>
          <w:tcPr>
            <w:tcW w:type="dxa" w:w="1927"/>
          </w:tcPr>
          <w:p>
            <w:pPr>
              <w:spacing w:before="0" w:after="0"/>
              <w:ind w:firstLine="0"/>
              <w:jc w:val="left"/>
            </w:pPr>
            <w:r>
              <w:rPr>
                <w:rFonts w:ascii="Times New Roman" w:hAnsi="Times New Roman"/>
                <w:sz w:val="22"/>
              </w:rPr>
              <w:t>Digital Europe, Clean Energy Package, H2 Strategy</w:t>
            </w:r>
          </w:p>
        </w:tc>
      </w:tr>
    </w:tbl>
    <w:p>
      <w:pPr>
        <w:ind w:firstLine="0"/>
      </w:pPr>
    </w:p>
    <w:p>
      <w:pPr>
        <w:ind w:firstLine="0"/>
      </w:pPr>
    </w:p>
    <w:p>
      <w:pPr>
        <w:pStyle w:val="ChapterHeading"/>
        <w:keepNext/>
      </w:pPr>
      <w:r>
        <w:t>9. Principiul Plug-and-play ca Paradigma de Scalare la 10.000+ Comunitati</w:t>
      </w:r>
    </w:p>
    <w:p>
      <w:pPr>
        <w:ind w:firstLine="0"/>
      </w:pPr>
    </w:p>
    <w:p>
      <w:pPr/>
      <w:r>
        <w:t>Principiul plug-and-play al Exergy HUB nu este doar un avantaj de instalare rapida -- este conditia necesara si suficienta pentru scalarea paradigmei CEE la 10.000+ comunitati pana in 2035. Fara standardizare industriala, fiecare HUB ar necesita 12-24 luni de engineering custom -- imposibil de replicat la scara globala cu resursele de inginerie disponibile la nivel european.</w:t>
      </w:r>
    </w:p>
    <w:p>
      <w:pPr>
        <w:ind w:firstLine="0"/>
      </w:pPr>
    </w:p>
    <w:p>
      <w:pPr>
        <w:pStyle w:val="SubHeading"/>
        <w:keepNext/>
      </w:pPr>
      <w:r>
        <w:t>9.1 Ecuatia de scalare</w:t>
      </w:r>
    </w:p>
    <w:p>
      <w:pPr>
        <w:ind w:firstLine="0"/>
      </w:pPr>
    </w:p>
    <w:p>
      <w:pPr/>
      <w:r>
        <w:t>Scalarea la 10.000 comunitati necesita fabricarea a 30.000-50.000 Exergy Box-uri (medie 3-5 Box-uri/HUB, 1-3 HUB-uri/comunitate). La o rata de productie de 5.000 Box-uri/an (o fabrica de dimensiune medie), termenul de fabricare este de 6-10 ani -- realist pentru 2026-2035 cu 1-2 fabrici in Europa si 1-2 in Asia.</w:t>
      </w:r>
    </w:p>
    <w:p>
      <w:pPr/>
      <w:r>
        <w:t>Fazele de dezvoltare și jaloanele cheie ale proiectului sunt prezentate în Tabelul 17.</w:t>
      </w:r>
    </w:p>
    <w:p>
      <w:pPr>
        <w:ind w:firstLine="0"/>
      </w:pPr>
    </w:p>
    <w:p>
      <w:pPr>
        <w:pStyle w:val="TableCaption"/>
      </w:pPr>
      <w:r>
        <w:t>Tabel 17. Fazele de dezvoltare și jaloanele cheie ale proiectului</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Faza</w:t>
            </w:r>
          </w:p>
        </w:tc>
        <w:tc>
          <w:tcPr>
            <w:tcW w:type="dxa" w:w="1927"/>
          </w:tcPr>
          <w:p>
            <w:pPr>
              <w:spacing w:before="0" w:after="0"/>
              <w:ind w:firstLine="0"/>
              <w:jc w:val="left"/>
            </w:pPr>
            <w:r>
              <w:rPr>
                <w:rFonts w:ascii="Times New Roman" w:hAnsi="Times New Roman"/>
                <w:b/>
                <w:sz w:val="22"/>
              </w:rPr>
              <w:t>Comunitati Tinta</w:t>
            </w:r>
          </w:p>
        </w:tc>
        <w:tc>
          <w:tcPr>
            <w:tcW w:type="dxa" w:w="1927"/>
          </w:tcPr>
          <w:p>
            <w:pPr>
              <w:spacing w:before="0" w:after="0"/>
              <w:ind w:firstLine="0"/>
              <w:jc w:val="left"/>
            </w:pPr>
            <w:r>
              <w:rPr>
                <w:rFonts w:ascii="Times New Roman" w:hAnsi="Times New Roman"/>
                <w:b/>
                <w:sz w:val="22"/>
              </w:rPr>
              <w:t>Box-uri Produse Cumulat</w:t>
            </w:r>
          </w:p>
        </w:tc>
        <w:tc>
          <w:tcPr>
            <w:tcW w:type="dxa" w:w="1927"/>
          </w:tcPr>
          <w:p>
            <w:pPr>
              <w:spacing w:before="0" w:after="0"/>
              <w:ind w:firstLine="0"/>
              <w:jc w:val="left"/>
            </w:pPr>
            <w:r>
              <w:rPr>
                <w:rFonts w:ascii="Times New Roman" w:hAnsi="Times New Roman"/>
                <w:b/>
                <w:sz w:val="22"/>
              </w:rPr>
              <w:t>Jaloane Cheie</w:t>
            </w:r>
          </w:p>
        </w:tc>
      </w:tr>
      <w:tr>
        <w:tc>
          <w:tcPr>
            <w:tcW w:type="dxa" w:w="1927"/>
          </w:tcPr>
          <w:p>
            <w:pPr>
              <w:spacing w:before="0" w:after="0"/>
              <w:ind w:firstLine="0"/>
              <w:jc w:val="left"/>
            </w:pPr>
            <w:r>
              <w:rPr>
                <w:rFonts w:ascii="Times New Roman" w:hAnsi="Times New Roman"/>
                <w:sz w:val="22"/>
              </w:rPr>
              <w:t>2026-2027 -- Faza Pilot</w:t>
            </w:r>
          </w:p>
        </w:tc>
        <w:tc>
          <w:tcPr>
            <w:tcW w:type="dxa" w:w="1927"/>
          </w:tcPr>
          <w:p>
            <w:pPr>
              <w:spacing w:before="0" w:after="0"/>
              <w:ind w:firstLine="0"/>
              <w:jc w:val="left"/>
            </w:pPr>
            <w:r>
              <w:rPr>
                <w:rFonts w:ascii="Times New Roman" w:hAnsi="Times New Roman"/>
                <w:sz w:val="22"/>
              </w:rPr>
              <w:t>3-5 comunitati</w:t>
            </w:r>
          </w:p>
        </w:tc>
        <w:tc>
          <w:tcPr>
            <w:tcW w:type="dxa" w:w="1927"/>
          </w:tcPr>
          <w:p>
            <w:pPr>
              <w:spacing w:before="0" w:after="0"/>
              <w:ind w:firstLine="0"/>
              <w:jc w:val="left"/>
            </w:pPr>
            <w:r>
              <w:rPr>
                <w:rFonts w:ascii="Times New Roman" w:hAnsi="Times New Roman"/>
                <w:sz w:val="22"/>
              </w:rPr>
              <w:t>10-25 Box-uri</w:t>
            </w:r>
          </w:p>
        </w:tc>
        <w:tc>
          <w:tcPr>
            <w:tcW w:type="dxa" w:w="1927"/>
          </w:tcPr>
          <w:p>
            <w:pPr>
              <w:spacing w:before="0" w:after="0"/>
              <w:ind w:firstLine="0"/>
              <w:jc w:val="left"/>
            </w:pPr>
            <w:r>
              <w:rPr>
                <w:rFonts w:ascii="Times New Roman" w:hAnsi="Times New Roman"/>
                <w:sz w:val="22"/>
              </w:rPr>
              <w:t>Validare tehnica; certificare; publicare rezultate ISI; prima clasa E</w:t>
            </w:r>
          </w:p>
        </w:tc>
      </w:tr>
      <w:tr>
        <w:tc>
          <w:tcPr>
            <w:tcW w:type="dxa" w:w="1927"/>
          </w:tcPr>
          <w:p>
            <w:pPr>
              <w:spacing w:before="0" w:after="0"/>
              <w:ind w:firstLine="0"/>
              <w:jc w:val="left"/>
            </w:pPr>
            <w:r>
              <w:rPr>
                <w:rFonts w:ascii="Times New Roman" w:hAnsi="Times New Roman"/>
                <w:sz w:val="22"/>
              </w:rPr>
              <w:t>2028-2029 -- Faza Integrare</w:t>
            </w:r>
          </w:p>
        </w:tc>
        <w:tc>
          <w:tcPr>
            <w:tcW w:type="dxa" w:w="1927"/>
          </w:tcPr>
          <w:p>
            <w:pPr>
              <w:spacing w:before="0" w:after="0"/>
              <w:ind w:firstLine="0"/>
              <w:jc w:val="left"/>
            </w:pPr>
            <w:r>
              <w:rPr>
                <w:rFonts w:ascii="Times New Roman" w:hAnsi="Times New Roman"/>
                <w:sz w:val="22"/>
              </w:rPr>
              <w:t>20-50 comunitati</w:t>
            </w:r>
          </w:p>
        </w:tc>
        <w:tc>
          <w:tcPr>
            <w:tcW w:type="dxa" w:w="1927"/>
          </w:tcPr>
          <w:p>
            <w:pPr>
              <w:spacing w:before="0" w:after="0"/>
              <w:ind w:firstLine="0"/>
              <w:jc w:val="left"/>
            </w:pPr>
            <w:r>
              <w:rPr>
                <w:rFonts w:ascii="Times New Roman" w:hAnsi="Times New Roman"/>
                <w:sz w:val="22"/>
              </w:rPr>
              <w:t>60-250 Box-uri</w:t>
            </w:r>
          </w:p>
        </w:tc>
        <w:tc>
          <w:tcPr>
            <w:tcW w:type="dxa" w:w="1927"/>
          </w:tcPr>
          <w:p>
            <w:pPr>
              <w:spacing w:before="0" w:after="0"/>
              <w:ind w:firstLine="0"/>
              <w:jc w:val="left"/>
            </w:pPr>
            <w:r>
              <w:rPr>
                <w:rFonts w:ascii="Times New Roman" w:hAnsi="Times New Roman"/>
                <w:sz w:val="22"/>
              </w:rPr>
              <w:t>Prima fabrica in productie serie; EquityX activ; standard CEN/TS propus</w:t>
            </w:r>
          </w:p>
        </w:tc>
      </w:tr>
      <w:tr>
        <w:tc>
          <w:tcPr>
            <w:tcW w:type="dxa" w:w="1927"/>
          </w:tcPr>
          <w:p>
            <w:pPr>
              <w:spacing w:before="0" w:after="0"/>
              <w:ind w:firstLine="0"/>
              <w:jc w:val="left"/>
            </w:pPr>
            <w:r>
              <w:rPr>
                <w:rFonts w:ascii="Times New Roman" w:hAnsi="Times New Roman"/>
                <w:sz w:val="22"/>
              </w:rPr>
              <w:t>2030-2031 -- Faza Scalare</w:t>
            </w:r>
          </w:p>
        </w:tc>
        <w:tc>
          <w:tcPr>
            <w:tcW w:type="dxa" w:w="1927"/>
          </w:tcPr>
          <w:p>
            <w:pPr>
              <w:spacing w:before="0" w:after="0"/>
              <w:ind w:firstLine="0"/>
              <w:jc w:val="left"/>
            </w:pPr>
            <w:r>
              <w:rPr>
                <w:rFonts w:ascii="Times New Roman" w:hAnsi="Times New Roman"/>
                <w:sz w:val="22"/>
              </w:rPr>
              <w:t>200-500 comunitati</w:t>
            </w:r>
          </w:p>
        </w:tc>
        <w:tc>
          <w:tcPr>
            <w:tcW w:type="dxa" w:w="1927"/>
          </w:tcPr>
          <w:p>
            <w:pPr>
              <w:spacing w:before="0" w:after="0"/>
              <w:ind w:firstLine="0"/>
              <w:jc w:val="left"/>
            </w:pPr>
            <w:r>
              <w:rPr>
                <w:rFonts w:ascii="Times New Roman" w:hAnsi="Times New Roman"/>
                <w:sz w:val="22"/>
              </w:rPr>
              <w:t>600-2.500 Box-uri</w:t>
            </w:r>
          </w:p>
        </w:tc>
        <w:tc>
          <w:tcPr>
            <w:tcW w:type="dxa" w:w="1927"/>
          </w:tcPr>
          <w:p>
            <w:pPr>
              <w:spacing w:before="0" w:after="0"/>
              <w:ind w:firstLine="0"/>
              <w:jc w:val="left"/>
            </w:pPr>
            <w:r>
              <w:rPr>
                <w:rFonts w:ascii="Times New Roman" w:hAnsi="Times New Roman"/>
                <w:sz w:val="22"/>
              </w:rPr>
              <w:t>A doua fabrica; standard ISO complet; 100k+ cetateni beneficiari</w:t>
            </w:r>
          </w:p>
        </w:tc>
      </w:tr>
      <w:tr>
        <w:tc>
          <w:tcPr>
            <w:tcW w:type="dxa" w:w="1927"/>
          </w:tcPr>
          <w:p>
            <w:pPr>
              <w:spacing w:before="0" w:after="0"/>
              <w:ind w:firstLine="0"/>
              <w:jc w:val="left"/>
            </w:pPr>
            <w:r>
              <w:rPr>
                <w:rFonts w:ascii="Times New Roman" w:hAnsi="Times New Roman"/>
                <w:sz w:val="22"/>
              </w:rPr>
              <w:t>2032-2033 -- Faza Maturitate</w:t>
            </w:r>
          </w:p>
        </w:tc>
        <w:tc>
          <w:tcPr>
            <w:tcW w:type="dxa" w:w="1927"/>
          </w:tcPr>
          <w:p>
            <w:pPr>
              <w:spacing w:before="0" w:after="0"/>
              <w:ind w:firstLine="0"/>
              <w:jc w:val="left"/>
            </w:pPr>
            <w:r>
              <w:rPr>
                <w:rFonts w:ascii="Times New Roman" w:hAnsi="Times New Roman"/>
                <w:sz w:val="22"/>
              </w:rPr>
              <w:t>1.000-2.000 comunitati</w:t>
            </w:r>
          </w:p>
        </w:tc>
        <w:tc>
          <w:tcPr>
            <w:tcW w:type="dxa" w:w="1927"/>
          </w:tcPr>
          <w:p>
            <w:pPr>
              <w:spacing w:before="0" w:after="0"/>
              <w:ind w:firstLine="0"/>
              <w:jc w:val="left"/>
            </w:pPr>
            <w:r>
              <w:rPr>
                <w:rFonts w:ascii="Times New Roman" w:hAnsi="Times New Roman"/>
                <w:sz w:val="22"/>
              </w:rPr>
              <w:t>3.000-10.000 Box-uri</w:t>
            </w:r>
          </w:p>
        </w:tc>
        <w:tc>
          <w:tcPr>
            <w:tcW w:type="dxa" w:w="1927"/>
          </w:tcPr>
          <w:p>
            <w:pPr>
              <w:spacing w:before="0" w:after="0"/>
              <w:ind w:firstLine="0"/>
              <w:jc w:val="left"/>
            </w:pPr>
            <w:r>
              <w:rPr>
                <w:rFonts w:ascii="Times New Roman" w:hAnsi="Times New Roman"/>
                <w:sz w:val="22"/>
              </w:rPr>
              <w:t>3+ fabrici globale; 1M+ cetateni; 5+ MtCO2/an reduse</w:t>
            </w:r>
          </w:p>
        </w:tc>
      </w:tr>
      <w:tr>
        <w:tc>
          <w:tcPr>
            <w:tcW w:type="dxa" w:w="1927"/>
          </w:tcPr>
          <w:p>
            <w:pPr>
              <w:spacing w:before="0" w:after="0"/>
              <w:ind w:firstLine="0"/>
              <w:jc w:val="left"/>
            </w:pPr>
            <w:r>
              <w:rPr>
                <w:rFonts w:ascii="Times New Roman" w:hAnsi="Times New Roman"/>
                <w:sz w:val="22"/>
              </w:rPr>
              <w:t>2034-2035 -- Faza Impact</w:t>
            </w:r>
          </w:p>
        </w:tc>
        <w:tc>
          <w:tcPr>
            <w:tcW w:type="dxa" w:w="1927"/>
          </w:tcPr>
          <w:p>
            <w:pPr>
              <w:spacing w:before="0" w:after="0"/>
              <w:ind w:firstLine="0"/>
              <w:jc w:val="left"/>
            </w:pPr>
            <w:r>
              <w:rPr>
                <w:rFonts w:ascii="Times New Roman" w:hAnsi="Times New Roman"/>
                <w:sz w:val="22"/>
              </w:rPr>
              <w:t>5.000-10.000 comunitati</w:t>
            </w:r>
          </w:p>
        </w:tc>
        <w:tc>
          <w:tcPr>
            <w:tcW w:type="dxa" w:w="1927"/>
          </w:tcPr>
          <w:p>
            <w:pPr>
              <w:spacing w:before="0" w:after="0"/>
              <w:ind w:firstLine="0"/>
              <w:jc w:val="left"/>
            </w:pPr>
            <w:r>
              <w:rPr>
                <w:rFonts w:ascii="Times New Roman" w:hAnsi="Times New Roman"/>
                <w:sz w:val="22"/>
              </w:rPr>
              <w:t>15.000-50.000 Box-uri</w:t>
            </w:r>
          </w:p>
        </w:tc>
        <w:tc>
          <w:tcPr>
            <w:tcW w:type="dxa" w:w="1927"/>
          </w:tcPr>
          <w:p>
            <w:pPr>
              <w:spacing w:before="0" w:after="0"/>
              <w:ind w:firstLine="0"/>
              <w:jc w:val="left"/>
            </w:pPr>
            <w:r>
              <w:rPr>
                <w:rFonts w:ascii="Times New Roman" w:hAnsi="Times New Roman"/>
                <w:sz w:val="22"/>
              </w:rPr>
              <w:t>50-80 MtCO2/an; 10M+ cetateni beneficiari; standard obligatoriu UE propus</w:t>
            </w:r>
          </w:p>
        </w:tc>
      </w:tr>
    </w:tbl>
    <w:p>
      <w:pPr>
        <w:ind w:firstLine="0"/>
      </w:pPr>
    </w:p>
    <w:p>
      <w:pPr>
        <w:ind w:firstLine="0"/>
      </w:pPr>
    </w:p>
    <w:p>
      <w:pPr>
        <w:pStyle w:val="SubHeading"/>
        <w:keepNext/>
      </w:pPr>
      <w:r>
        <w:t>9.2 Open-x framework ca multiplicator de cunoastere</w:t>
      </w:r>
    </w:p>
    <w:p>
      <w:pPr>
        <w:ind w:firstLine="0"/>
      </w:pPr>
    </w:p>
    <w:p>
      <w:pPr/>
      <w:r>
        <w:t>Cunoasterea generata de fiecare HUB instalat -- bilante exergetice reale, date AssetHealth, predictii ScenarioLab validate -- este partajata prin Open-X Framework pe 4 dimensiuni: Open Science (publicatii ISI cu date reale de performanta), Open Data (seturi de masuratori in licenta CC BY 4.0), Open Source (algoritmii EMS in licenta AGPL-3.0), Open Education (curriculumul de instalare si operare in licenta CC BY-SA 4.0). Fiecare HUB nou beneficiaza de experienta tuturor celor anterioare -- curba de invatare sistemica, nu individuala. HUB-ul nr. 1.000 este instalat si operat mai bine decat HUB-ul nr. 1, nu din cauza ca tehnologia s-a schimbat, ci pentru ca cunoasterea acumulata este accesibila.</w:t>
      </w:r>
    </w:p>
    <w:p>
      <w:pPr>
        <w:ind w:firstLine="0"/>
      </w:pPr>
    </w:p>
    <w:p>
      <w:pPr>
        <w:pStyle w:val="ChapterHeading"/>
        <w:keepNext/>
      </w:pPr>
      <w:r>
        <w:t>10. Concluzii si Propuneri pentru Standardizare</w:t>
      </w:r>
    </w:p>
    <w:p>
      <w:pPr>
        <w:ind w:firstLine="0"/>
      </w:pPr>
    </w:p>
    <w:p>
      <w:pPr/>
      <w:r>
        <w:t>Lucrarea a demonstrat ca Exergy HUB nu este o varianta imbunatatita a instalatiei energetice conventionale -- este o ruptura paradigmatica care schimba modul in care infrastructura energetica comunitara este proiectata, fabricata, instalata si operata.</w:t>
      </w:r>
    </w:p>
    <w:p>
      <w:pPr/>
      <w:r>
        <w:rPr>
          <w:b/>
        </w:rPr>
        <w:t>Concluzia 1 -- Emergenta η_ex &gt;=70% este proprietate a HUB, nu a Box-urilor individuale</w:t>
      </w:r>
    </w:p>
    <w:p>
      <w:pPr/>
      <w:r>
        <w:t>Demonstrarea termodinamica din Sectiunea 5.2 confirma: eficienta exergetica la nivel HUB (70.3%) depaseste eficienta sistemului conventional echivalent fara cascada (58.4%) cu +11.9 puncte procentuale prin cascada inter-Box si Quality Matching AI. Aceasta emergenta este proprietate a arhitecturii interactiunilor, nu a performantei individuale a vreunui Box.</w:t>
      </w:r>
    </w:p>
    <w:p>
      <w:pPr/>
      <w:r>
        <w:rPr>
          <w:b/>
        </w:rPr>
        <w:t>Concluzia 2 -- Principiul plug-and-play este conditia necesara a scalabilitatii la 10.000+ comunitati</w:t>
      </w:r>
    </w:p>
    <w:p>
      <w:pPr/>
      <w:r>
        <w:t>Reducerea timpului de instalare de la 6-24 luni (constructie conventionala) la 5-15 zile (containerizare ISO 668, FAT in fabrica, tehnicieni certificati in 3 zile) transforma infrastructura energetica comunitara dintr-un proiect de constructie intr-un produs industrial replicabil. Fara aceasta transformare, scalarea la 10.000 comunitati pana in 2035 este imposibila cu resursele de inginerie disponibile.</w:t>
      </w:r>
    </w:p>
    <w:p>
      <w:pPr/>
      <w:r>
        <w:rPr>
          <w:b/>
        </w:rPr>
        <w:t>Concluzia 3 -- Cascada pe 4 niveluri elimina structural vandalismul termodinamic</w:t>
      </w:r>
    </w:p>
    <w:p>
      <w:pPr/>
      <w:r>
        <w:t>Quality Matching automatizat in &lt;100ms -- fiecare cerinta satisfacuta de sursa cu calitatea exergetica minima suficienta -- reduce Ex_distrusa la interfetele inter-Box cu 60-80% fata de sistemele conventionale. Implementarea algoritmului QM transforma un principiu termodinamic teoretic intr-o operatiune curenta, verificabila si certificabila.</w:t>
      </w:r>
    </w:p>
    <w:p>
      <w:pPr/>
      <w:r>
        <w:rPr>
          <w:b/>
        </w:rPr>
        <w:t>Concluzia 4 -- 34+ inovatii catalogate justifica recunoasterea ca categorie industriala noua</w:t>
      </w:r>
    </w:p>
    <w:p>
      <w:pPr/>
      <w:r>
        <w:t>Exergy HUB nu este o integrare de produse existente -- contine inovatii de ruptura (arhitectura modulara cu cascada inter-Box, Quality Matching algoritmic, organ energetic N2 cu proprietati emergente, Box relocabil SolidarityX) cu potential de brevetare distinct si justificand recunoasterea ca categorie industriala noua: nodul energetic comunitar modular.</w:t>
      </w:r>
    </w:p>
    <w:p>
      <w:pPr>
        <w:ind w:firstLine="0"/>
      </w:pPr>
    </w:p>
    <w:p>
      <w:pPr>
        <w:pStyle w:val="SubHeading"/>
        <w:keepNext/>
      </w:pPr>
      <w:r>
        <w:t>10.1 Propuneri pentru standardizare europeana</w:t>
      </w:r>
    </w:p>
    <w:p>
      <w:pPr>
        <w:ind w:firstLine="0"/>
      </w:pPr>
    </w:p>
    <w:p>
      <w:pPr>
        <w:pStyle w:val="ListParagraph"/>
        <w:ind w:left="1" w:hanging="1"/>
      </w:pPr>
      <w:r>
        <w:t>7. Includerea conceptului de cascada termodinamica inter-Box pe 4 niveluri de temperatura ca cerinta de proiectare in standardele EN pentru sistemele de termoficare de generatie avansata (extensie EN 14511, EN 15450).</w:t>
      </w:r>
    </w:p>
    <w:p>
      <w:pPr>
        <w:pStyle w:val="ListParagraph"/>
        <w:ind w:left="1" w:hanging="1"/>
      </w:pPr>
      <w:r>
        <w:t>8. Mandatarea CEN/TC 228 (Sisteme de incalzire centralizata) cu elaborarea unui standard tehnic pentru nuclee energetice modulare comunitare de tip HUB, cu specificatii de interoperabilitate pentru interfata EBI standardizata.</w:t>
      </w:r>
    </w:p>
    <w:p>
      <w:pPr>
        <w:pStyle w:val="ListParagraph"/>
        <w:ind w:left="1" w:hanging="1"/>
      </w:pPr>
      <w:r>
        <w:t>9. Includerea criteriului η_ex &gt;=60% (echivalent clasa B -- Best Practice) ca prag de eligibilitate pentru finantarea europeana a proiectelor de infrastructura energetica comunitara prin FEDR si Fondul de Coeziune.</w:t>
      </w:r>
    </w:p>
    <w:p>
      <w:pPr>
        <w:pStyle w:val="ListParagraph"/>
        <w:ind w:left="1" w:hanging="1"/>
      </w:pPr>
      <w:r>
        <w:t>10. Recunoasterea containerizarii ISO 668 ca standard de referinta pentru echipamentele energetice modulare comunitare, cu elaborarea unui ghid tehnic de proiectare si testare FAT specific domeniului energetic.</w:t>
      </w:r>
    </w:p>
    <w:p>
      <w:pPr>
        <w:pStyle w:val="ListParagraph"/>
        <w:ind w:left="1" w:hanging="1"/>
      </w:pPr>
      <w:r>
        <w:t>11. Finantarea unui program european de demonstrare a arhitecturii HUB in minimum 20 contexte geografice diferite (rural montan, rural agricol, urban mediu, urban mare, industrial), cu monitorizare standardizata pe η_ex si raportare publica comparativa.</w:t>
      </w:r>
    </w:p>
    <w:p>
      <w:pPr>
        <w:ind w:firstLine="0"/>
      </w:pPr>
    </w:p>
    <w:p>
      <w:pPr>
        <w:pStyle w:val="SubHeading"/>
        <w:keepNext/>
      </w:pPr>
      <w:r>
        <w:t>10.2 Limitari si directii ulterioare</w:t>
      </w:r>
    </w:p>
    <w:p>
      <w:pPr>
        <w:ind w:firstLine="0"/>
      </w:pPr>
    </w:p>
    <w:p>
      <w:pPr/>
      <w:r>
        <w:t>Principala limitare a lucrarii este caracterul teoretic al demonstratiei din Sectiunea 5.2 -- valorile sunt calculate pe baza specificatiilor de proiectare, nu pe masuratori din operare reala. Validarea empirica a castigului de cascada (+3-8% η_ex) va fi posibila dupa operarea a minimum 12 luni a primilor piloti (2026-2027). Directiile prioritare de cercetare ulterioara: (a) validarea experimentala a Quality Matching Factor in conditii de sarcina variabila; (b) analiza comparativa a celor 5 configuratii de HUB pe eficienta exergetica reala in 3 contexte climatice (continental, oceanic, mediteranean); (c) dezvoltarea metodologiei de audit exergetic la nivel HUB, compatibila cu EN 16247 si ISO 50001; (d) cuantificarea Cross-Vector Synergy Gain &gt;=8% in conditii de operare reale.</w:t>
      </w:r>
    </w:p>
    <w:p>
      <w:pPr>
        <w:ind w:firstLine="0"/>
      </w:pPr>
    </w:p>
    <w:p>
      <w:pPr>
        <w:ind w:firstLine="0"/>
      </w:pPr>
    </w:p>
    <w:p>
      <w:pPr>
        <w:pStyle w:val="Title"/>
      </w:pPr>
      <w:r>
        <w:rPr>
          <w:b w:val="0"/>
        </w:rPr>
        <w:t>THE ENERGY HUB AS MODULAR NUCLEUS OF COMMUNITY INFRASTRUCTURE: MODULAR ARCHITECTURE, THERMODYNAMIC CASCADE AND THE PLUG-AND-PLAY PRINCIPLE IN LOCAL ENERGY SYSTEMS</w:t>
      </w:r>
    </w:p>
    <w:p>
      <w:pPr>
        <w:ind w:firstLine="0"/>
      </w:pPr>
    </w:p>
    <w:p>
      <w:pPr>
        <w:ind w:firstLine="0"/>
      </w:pPr>
    </w:p>
    <w:p>
      <w:pPr>
        <w:pStyle w:val="ChapterHeading"/>
      </w:pPr>
      <w:r>
        <w:t>Abstract</w:t>
      </w:r>
    </w:p>
    <w:p>
      <w:pPr>
        <w:ind w:firstLine="0"/>
      </w:pPr>
    </w:p>
    <w:p>
      <w:pPr/>
      <w:r>
        <w:rPr>
          <w:i/>
        </w:rPr>
        <w:t>This paper proposes a technical and theoretical analysis of the Exergy HUB as the modular nucleus of community energy infrastructure -- the N2-level functional unit of the Exergy Metasystem hierarchy. The nine Exergy Box typologies are examined alongside the plug-and-play principle through ISO 668 containerisation, the four-level thermodynamic cascade (N1: 80-90 C, N2: 50-65 C, N3: 30-45 C, N4: heat pump upgrade at COP 4-5), the EMS AI management architecture with 8 hierarchical feedback loops, and five typical HUB configurations. The central contribution is the demonstration that the Exergy HUB is not a simple aggregate of equipment but an energy organ with emergent properties -- exergetic efficiency η_ex &gt;=70% at HUB level vs. 15-35% at individual component level, SPOF elimination through structural redundancy, and an emergent gain of +3-8% additional η_ex through inter-Box cascading. The 34+ catalogued innovations across 5 typologies are presented, alongside the justification of plug-and-play as an industrialisation paradigm for global-scale community energy infrastructure.</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[0] Bejan, A., Tsatsaronis, G., Moran, M. (1996).</w:t>
      </w:r>
      <w:r>
        <w:rPr>
          <w:rFonts w:ascii="Times New Roman" w:hAnsi="Times New Roman"/>
          <w:i/>
          <w:sz w:val="22"/>
        </w:rPr>
        <w:t xml:space="preserve"> Thermal Design and Optimization.</w:t>
      </w:r>
      <w:r>
        <w:rPr>
          <w:rFonts w:ascii="Times New Roman" w:hAnsi="Times New Roman"/>
          <w:sz w:val="22"/>
        </w:rPr>
        <w:t xml:space="preserve"> John Wiley &amp; Sons, New York.</w:t>
      </w:r>
    </w:p>
    <w:p>
      <w:pPr>
        <w:pStyle w:val="BibliographyEntry"/>
      </w:pPr>
      <w:r>
        <w:rPr>
          <w:rFonts w:ascii="Times New Roman" w:hAnsi="Times New Roman"/>
          <w:b/>
          <w:sz w:val="22"/>
        </w:rPr>
        <w:t>[1] Rosen, M.A., Dincer, I. (2003).</w:t>
      </w:r>
      <w:r>
        <w:rPr>
          <w:rFonts w:ascii="Times New Roman" w:hAnsi="Times New Roman"/>
          <w:i/>
          <w:sz w:val="22"/>
        </w:rPr>
        <w:t xml:space="preserve"> Exergy methods for assessing and comparing energy systems in buildings.</w:t>
      </w:r>
      <w:r>
        <w:rPr>
          <w:rFonts w:ascii="Times New Roman" w:hAnsi="Times New Roman"/>
          <w:sz w:val="22"/>
        </w:rPr>
        <w:t xml:space="preserve"> Energy and Buildings, 35(1), 71-79.</w:t>
      </w:r>
    </w:p>
    <w:p>
      <w:pPr>
        <w:pStyle w:val="BibliographyEntry"/>
      </w:pPr>
      <w:r>
        <w:rPr>
          <w:rFonts w:ascii="Times New Roman" w:hAnsi="Times New Roman"/>
          <w:b/>
          <w:sz w:val="22"/>
        </w:rPr>
        <w:t>[2] Hepbasli, A. (2008).</w:t>
      </w:r>
      <w:r>
        <w:rPr>
          <w:rFonts w:ascii="Times New Roman" w:hAnsi="Times New Roman"/>
          <w:i/>
          <w:sz w:val="22"/>
        </w:rPr>
        <w:t xml:space="preserve"> A key review on exergetic analysis and assessment of renewable energy resources for a sustainable future.</w:t>
      </w:r>
      <w:r>
        <w:rPr>
          <w:rFonts w:ascii="Times New Roman" w:hAnsi="Times New Roman"/>
          <w:sz w:val="22"/>
        </w:rPr>
        <w:t xml:space="preserve"> Renewable and Sustainable Energy Reviews, 12(3), 593-661.</w:t>
      </w:r>
    </w:p>
    <w:p>
      <w:pPr>
        <w:pStyle w:val="BibliographyEntry"/>
      </w:pPr>
      <w:r>
        <w:rPr>
          <w:rFonts w:ascii="Times New Roman" w:hAnsi="Times New Roman"/>
          <w:b/>
          <w:sz w:val="22"/>
        </w:rPr>
        <w:t>[3] Szargut, J., Morris, D.R., Steward, F.R. (1988).</w:t>
      </w:r>
      <w:r>
        <w:rPr>
          <w:rFonts w:ascii="Times New Roman" w:hAnsi="Times New Roman"/>
          <w:i/>
          <w:sz w:val="22"/>
        </w:rPr>
        <w:t xml:space="preserve"> Exergy Analysis of Thermal, Chemical, and Metallurgical Processes.</w:t>
      </w:r>
      <w:r>
        <w:rPr>
          <w:rFonts w:ascii="Times New Roman" w:hAnsi="Times New Roman"/>
          <w:sz w:val="22"/>
        </w:rPr>
        <w:t xml:space="preserve"> Hemisphere Publishing Corporation, Washington.</w:t>
      </w:r>
    </w:p>
    <w:p>
      <w:pPr>
        <w:pStyle w:val="BibliographyEntry"/>
      </w:pPr>
      <w:r>
        <w:rPr>
          <w:rFonts w:ascii="Times New Roman" w:hAnsi="Times New Roman"/>
          <w:b/>
          <w:sz w:val="22"/>
        </w:rPr>
        <w:t>[4] Tsatsaronis, G. (1993).</w:t>
      </w:r>
      <w:r>
        <w:rPr>
          <w:rFonts w:ascii="Times New Roman" w:hAnsi="Times New Roman"/>
          <w:i/>
          <w:sz w:val="22"/>
        </w:rPr>
        <w:t xml:space="preserve"> Thermoeconomic analysis and optimization of energy systems.</w:t>
      </w:r>
      <w:r>
        <w:rPr>
          <w:rFonts w:ascii="Times New Roman" w:hAnsi="Times New Roman"/>
          <w:sz w:val="22"/>
        </w:rPr>
        <w:t xml:space="preserve"> Progress in Energy and Combustion Science, 19(3), 227-257.</w:t>
      </w:r>
    </w:p>
    <w:p>
      <w:pPr>
        <w:pStyle w:val="BibliographyEntry"/>
      </w:pPr>
      <w:r>
        <w:rPr>
          <w:rFonts w:ascii="Times New Roman" w:hAnsi="Times New Roman"/>
          <w:b/>
          <w:sz w:val="22"/>
        </w:rPr>
        <w:t>[5] Lund, H., Werner, S., Wiltshire, R., Svendsen, S., Thorsen, J.E., Hvelplund, F., Mathiesen, B.V. (2014).</w:t>
      </w:r>
      <w:r>
        <w:rPr>
          <w:rFonts w:ascii="Times New Roman" w:hAnsi="Times New Roman"/>
          <w:i/>
          <w:sz w:val="22"/>
        </w:rPr>
        <w:t xml:space="preserve"> 4th Generation District Heating (4GDH).</w:t>
      </w:r>
      <w:r>
        <w:rPr>
          <w:rFonts w:ascii="Times New Roman" w:hAnsi="Times New Roman"/>
          <w:sz w:val="22"/>
        </w:rPr>
        <w:t xml:space="preserve"> Energy, 68, 1-11.</w:t>
      </w:r>
    </w:p>
    <w:p>
      <w:pPr>
        <w:pStyle w:val="BibliographyEntry"/>
      </w:pPr>
      <w:r>
        <w:rPr>
          <w:rFonts w:ascii="Times New Roman" w:hAnsi="Times New Roman"/>
          <w:b/>
          <w:sz w:val="22"/>
        </w:rPr>
        <w:t>[6] Buffa, S., Cozzini, M., D'Antoni, M., Baratieri, M., Fedrizzi, R. (2019).</w:t>
      </w:r>
      <w:r>
        <w:rPr>
          <w:rFonts w:ascii="Times New Roman" w:hAnsi="Times New Roman"/>
          <w:i/>
          <w:sz w:val="22"/>
        </w:rPr>
        <w:t xml:space="preserve"> 5th Generation District Heating and Cooling Systems: A Review.</w:t>
      </w:r>
      <w:r>
        <w:rPr>
          <w:rFonts w:ascii="Times New Roman" w:hAnsi="Times New Roman"/>
          <w:sz w:val="22"/>
        </w:rPr>
        <w:t xml:space="preserve"> Renewable and Sustainable Energy Reviews, 104, 504-522.</w:t>
      </w:r>
    </w:p>
    <w:p>
      <w:pPr>
        <w:pStyle w:val="BibliographyEntry"/>
      </w:pPr>
      <w:r>
        <w:rPr>
          <w:rFonts w:ascii="Times New Roman" w:hAnsi="Times New Roman"/>
          <w:b/>
          <w:sz w:val="22"/>
        </w:rPr>
        <w:t>[7] Li, H., Svendsen, S. (2012).</w:t>
      </w:r>
      <w:r>
        <w:rPr>
          <w:rFonts w:ascii="Times New Roman" w:hAnsi="Times New Roman"/>
          <w:i/>
          <w:sz w:val="22"/>
        </w:rPr>
        <w:t xml:space="preserve"> Energy and Exergy Analysis of Low Temperature District Heating Network.</w:t>
      </w:r>
      <w:r>
        <w:rPr>
          <w:rFonts w:ascii="Times New Roman" w:hAnsi="Times New Roman"/>
          <w:sz w:val="22"/>
        </w:rPr>
        <w:t xml:space="preserve"> Energy, 45(1), 237-246.</w:t>
      </w:r>
    </w:p>
    <w:p>
      <w:pPr>
        <w:pStyle w:val="BibliographyEntry"/>
      </w:pPr>
      <w:r>
        <w:rPr>
          <w:rFonts w:ascii="Times New Roman" w:hAnsi="Times New Roman"/>
          <w:b/>
          <w:sz w:val="22"/>
        </w:rPr>
        <w:t>[8] Werner, S. (2017).</w:t>
      </w:r>
      <w:r>
        <w:rPr>
          <w:rFonts w:ascii="Times New Roman" w:hAnsi="Times New Roman"/>
          <w:i/>
          <w:sz w:val="22"/>
        </w:rPr>
        <w:t xml:space="preserve"> International review of district heating and cooling.</w:t>
      </w:r>
      <w:r>
        <w:rPr>
          <w:rFonts w:ascii="Times New Roman" w:hAnsi="Times New Roman"/>
          <w:sz w:val="22"/>
        </w:rPr>
        <w:t xml:space="preserve"> Energy, 137, 617-631.</w:t>
      </w:r>
    </w:p>
    <w:p>
      <w:pPr>
        <w:pStyle w:val="BibliographyEntry"/>
      </w:pPr>
      <w:r>
        <w:rPr>
          <w:rFonts w:ascii="Times New Roman" w:hAnsi="Times New Roman"/>
          <w:b/>
          <w:sz w:val="22"/>
        </w:rPr>
        <w:t>[9]</w:t>
      </w:r>
      <w:r>
        <w:rPr>
          <w:rFonts w:ascii="Times New Roman" w:hAnsi="Times New Roman"/>
          <w:i/>
          <w:sz w:val="22"/>
        </w:rPr>
        <w:t xml:space="preserve"> ISO 668:2020 -- Series 1 freight containers -- Classification, dimensions and ratings.</w:t>
      </w:r>
      <w:r>
        <w:rPr>
          <w:rFonts w:ascii="Times New Roman" w:hAnsi="Times New Roman"/>
          <w:sz w:val="22"/>
        </w:rPr>
        <w:t xml:space="preserve"> International Organization for Standardization.</w:t>
      </w:r>
    </w:p>
    <w:p>
      <w:pPr>
        <w:pStyle w:val="BibliographyEntry"/>
      </w:pPr>
      <w:r>
        <w:rPr>
          <w:rFonts w:ascii="Times New Roman" w:hAnsi="Times New Roman"/>
          <w:b/>
          <w:sz w:val="22"/>
        </w:rPr>
        <w:t>[10]</w:t>
      </w:r>
      <w:r>
        <w:rPr>
          <w:rFonts w:ascii="Times New Roman" w:hAnsi="Times New Roman"/>
          <w:i/>
          <w:sz w:val="22"/>
        </w:rPr>
        <w:t xml:space="preserve"> ISO 1496-1:2023 -- Series 1 freight containers -- Specification and testing -- Part 1: General cargo containers.</w:t>
      </w:r>
      <w:r>
        <w:rPr>
          <w:rFonts w:ascii="Times New Roman" w:hAnsi="Times New Roman"/>
          <w:sz w:val="22"/>
        </w:rPr>
      </w:r>
    </w:p>
    <w:p>
      <w:pPr>
        <w:pStyle w:val="BibliographyEntry"/>
      </w:pPr>
      <w:r>
        <w:rPr>
          <w:rFonts w:ascii="Times New Roman" w:hAnsi="Times New Roman"/>
          <w:b/>
          <w:sz w:val="22"/>
        </w:rPr>
        <w:t>[11] Maier, M.W. (1998).</w:t>
      </w:r>
      <w:r>
        <w:rPr>
          <w:rFonts w:ascii="Times New Roman" w:hAnsi="Times New Roman"/>
          <w:i/>
          <w:sz w:val="22"/>
        </w:rPr>
        <w:t xml:space="preserve"> Architecting principles for systems-of-systems.</w:t>
      </w:r>
      <w:r>
        <w:rPr>
          <w:rFonts w:ascii="Times New Roman" w:hAnsi="Times New Roman"/>
          <w:sz w:val="22"/>
        </w:rPr>
        <w:t xml:space="preserve"> Systems Engineering, 1(4), 267-284.</w:t>
      </w:r>
    </w:p>
    <w:p>
      <w:pPr>
        <w:pStyle w:val="BibliographyEntry"/>
      </w:pPr>
      <w:r>
        <w:rPr>
          <w:rFonts w:ascii="Times New Roman" w:hAnsi="Times New Roman"/>
          <w:b/>
          <w:sz w:val="22"/>
        </w:rPr>
        <w:t>[12] Hochreiter, S., Schmidhuber, J. (1997).</w:t>
      </w:r>
      <w:r>
        <w:rPr>
          <w:rFonts w:ascii="Times New Roman" w:hAnsi="Times New Roman"/>
          <w:i/>
          <w:sz w:val="22"/>
        </w:rPr>
        <w:t xml:space="preserve"> Long Short-Term Memory.</w:t>
      </w:r>
      <w:r>
        <w:rPr>
          <w:rFonts w:ascii="Times New Roman" w:hAnsi="Times New Roman"/>
          <w:sz w:val="22"/>
        </w:rPr>
        <w:t xml:space="preserve"> Neural Computation, 9(8), 1735-1780.</w:t>
      </w:r>
    </w:p>
    <w:p>
      <w:pPr>
        <w:pStyle w:val="BibliographyEntry"/>
      </w:pPr>
      <w:r>
        <w:rPr>
          <w:rFonts w:ascii="Times New Roman" w:hAnsi="Times New Roman"/>
          <w:b/>
          <w:sz w:val="22"/>
        </w:rPr>
        <w:t>[13] Han, S., Zhao, Q., Xu, B. (2020).</w:t>
      </w:r>
      <w:r>
        <w:rPr>
          <w:rFonts w:ascii="Times New Roman" w:hAnsi="Times New Roman"/>
          <w:i/>
          <w:sz w:val="22"/>
        </w:rPr>
        <w:t xml:space="preserve"> Multi-objective optimization of distributed energy systems.</w:t>
      </w:r>
      <w:r>
        <w:rPr>
          <w:rFonts w:ascii="Times New Roman" w:hAnsi="Times New Roman"/>
          <w:sz w:val="22"/>
        </w:rPr>
        <w:t xml:space="preserve"> Applied Energy, 267, 114900.</w:t>
      </w:r>
    </w:p>
    <w:p>
      <w:pPr>
        <w:pStyle w:val="BibliographyEntry"/>
      </w:pPr>
      <w:r>
        <w:rPr>
          <w:rFonts w:ascii="Times New Roman" w:hAnsi="Times New Roman"/>
          <w:b/>
          <w:sz w:val="22"/>
        </w:rPr>
        <w:t>[14]</w:t>
      </w:r>
      <w:r>
        <w:rPr>
          <w:rFonts w:ascii="Times New Roman" w:hAnsi="Times New Roman"/>
          <w:i/>
          <w:sz w:val="22"/>
        </w:rPr>
        <w:t xml:space="preserve"> IEC 62541 -- OPC Unified Architecture.</w:t>
      </w:r>
      <w:r>
        <w:rPr>
          <w:rFonts w:ascii="Times New Roman" w:hAnsi="Times New Roman"/>
          <w:sz w:val="22"/>
        </w:rPr>
        <w:t xml:space="preserve"> International Electrotechnical Commission.</w:t>
      </w:r>
    </w:p>
    <w:p>
      <w:pPr>
        <w:pStyle w:val="BibliographyEntry"/>
      </w:pPr>
      <w:r>
        <w:rPr>
          <w:rFonts w:ascii="Times New Roman" w:hAnsi="Times New Roman"/>
          <w:b/>
          <w:sz w:val="22"/>
        </w:rPr>
        <w:t>[15]</w:t>
      </w:r>
      <w:r>
        <w:rPr>
          <w:rFonts w:ascii="Times New Roman" w:hAnsi="Times New Roman"/>
          <w:i/>
          <w:sz w:val="22"/>
        </w:rPr>
        <w:t xml:space="preserve"> Directiva (UE) 2023/2413 -- RED III.</w:t>
      </w:r>
      <w:r>
        <w:rPr>
          <w:rFonts w:ascii="Times New Roman" w:hAnsi="Times New Roman"/>
          <w:sz w:val="22"/>
        </w:rPr>
        <w:t xml:space="preserve"> Jurnalul Oficial al Uniunii Europene, 31.10.2023.</w:t>
      </w:r>
    </w:p>
    <w:p>
      <w:pPr>
        <w:pStyle w:val="BibliographyEntry"/>
      </w:pPr>
      <w:r>
        <w:rPr>
          <w:rFonts w:ascii="Times New Roman" w:hAnsi="Times New Roman"/>
          <w:b/>
          <w:sz w:val="22"/>
        </w:rPr>
        <w:t>[16]</w:t>
      </w:r>
      <w:r>
        <w:rPr>
          <w:rFonts w:ascii="Times New Roman" w:hAnsi="Times New Roman"/>
          <w:i/>
          <w:sz w:val="22"/>
        </w:rPr>
        <w:t xml:space="preserve"> Directiva (UE) 2023/1791 -- Directiva privind Eficienta Energetica (EED), Articolul 26.</w:t>
      </w:r>
      <w:r>
        <w:rPr>
          <w:rFonts w:ascii="Times New Roman" w:hAnsi="Times New Roman"/>
          <w:sz w:val="22"/>
        </w:rPr>
      </w:r>
    </w:p>
    <w:p>
      <w:pPr>
        <w:pStyle w:val="BibliographyEntry"/>
      </w:pPr>
      <w:r>
        <w:rPr>
          <w:rFonts w:ascii="Times New Roman" w:hAnsi="Times New Roman"/>
          <w:b/>
          <w:sz w:val="22"/>
        </w:rPr>
        <w:t>[17]</w:t>
      </w:r>
      <w:r>
        <w:rPr>
          <w:rFonts w:ascii="Times New Roman" w:hAnsi="Times New Roman"/>
          <w:i/>
          <w:sz w:val="22"/>
        </w:rPr>
        <w:t xml:space="preserve"> EN 14511:2023 -- Air conditioners, liquid chilling packages and heat pumps for space heating and cooling.</w:t>
      </w:r>
      <w:r>
        <w:rPr>
          <w:rFonts w:ascii="Times New Roman" w:hAnsi="Times New Roman"/>
          <w:sz w:val="22"/>
        </w:rPr>
        <w:t xml:space="preserve"> CEN.</w:t>
      </w:r>
    </w:p>
    <w:p>
      <w:pPr>
        <w:pStyle w:val="BibliographyEntry"/>
      </w:pPr>
      <w:r>
        <w:rPr>
          <w:rFonts w:ascii="Times New Roman" w:hAnsi="Times New Roman"/>
          <w:b/>
          <w:sz w:val="22"/>
        </w:rPr>
        <w:t>[18]</w:t>
      </w:r>
      <w:r>
        <w:rPr>
          <w:rFonts w:ascii="Times New Roman" w:hAnsi="Times New Roman"/>
          <w:i/>
          <w:sz w:val="22"/>
        </w:rPr>
        <w:t xml:space="preserve"> EN 15450:2007 -- Heating systems in buildings -- Design of heat pump heating systems.</w:t>
      </w:r>
      <w:r>
        <w:rPr>
          <w:rFonts w:ascii="Times New Roman" w:hAnsi="Times New Roman"/>
          <w:sz w:val="22"/>
        </w:rPr>
        <w:t xml:space="preserve"> CEN.</w:t>
      </w:r>
    </w:p>
    <w:p>
      <w:pPr>
        <w:pStyle w:val="BibliographyEntry"/>
      </w:pPr>
      <w:r>
        <w:rPr>
          <w:rFonts w:ascii="Times New Roman" w:hAnsi="Times New Roman"/>
          <w:b/>
          <w:sz w:val="22"/>
        </w:rPr>
        <w:t>[19]</w:t>
      </w:r>
      <w:r>
        <w:rPr>
          <w:rFonts w:ascii="Times New Roman" w:hAnsi="Times New Roman"/>
          <w:i/>
          <w:sz w:val="22"/>
        </w:rPr>
        <w:t xml:space="preserve"> EN 253:2019 -- District heating pipes -- Pre-insulated bonded pipe systems for directly buried hot water networks.</w:t>
      </w:r>
      <w:r>
        <w:rPr>
          <w:rFonts w:ascii="Times New Roman" w:hAnsi="Times New Roman"/>
          <w:sz w:val="22"/>
        </w:rPr>
        <w:t xml:space="preserve"> CEN.</w:t>
      </w:r>
    </w:p>
    <w:p>
      <w:pPr>
        <w:pStyle w:val="BibliographyEntry"/>
      </w:pPr>
      <w:r>
        <w:rPr>
          <w:rFonts w:ascii="Times New Roman" w:hAnsi="Times New Roman"/>
          <w:b/>
          <w:sz w:val="22"/>
        </w:rPr>
        <w:t>[20]</w:t>
      </w:r>
      <w:r>
        <w:rPr>
          <w:rFonts w:ascii="Times New Roman" w:hAnsi="Times New Roman"/>
          <w:i/>
          <w:sz w:val="22"/>
        </w:rPr>
        <w:t xml:space="preserve"> Directiva ATEX 2014/34/UE -- Echipamente si sisteme de protectie destinate utilizarii in atmosfere potential explozive.</w:t>
      </w:r>
      <w:r>
        <w:rPr>
          <w:rFonts w:ascii="Times New Roman" w:hAnsi="Times New Roman"/>
          <w:sz w:val="22"/>
        </w:rPr>
      </w:r>
    </w:p>
    <w:p>
      <w:pPr>
        <w:pStyle w:val="BibliographyEntry"/>
      </w:pPr>
      <w:r>
        <w:rPr>
          <w:rFonts w:ascii="Times New Roman" w:hAnsi="Times New Roman"/>
          <w:b/>
          <w:sz w:val="22"/>
        </w:rPr>
        <w:t>[21]</w:t>
      </w:r>
      <w:r>
        <w:rPr>
          <w:rFonts w:ascii="Times New Roman" w:hAnsi="Times New Roman"/>
          <w:i/>
          <w:sz w:val="22"/>
        </w:rPr>
        <w:t xml:space="preserve"> IEC 61850 -- Communication networks and systems for power utility automation.</w:t>
      </w:r>
      <w:r>
        <w:rPr>
          <w:rFonts w:ascii="Times New Roman" w:hAnsi="Times New Roman"/>
          <w:sz w:val="22"/>
        </w:rPr>
        <w:t xml:space="preserve"> IEC.</w:t>
      </w:r>
    </w:p>
    <w:p>
      <w:pPr>
        <w:pStyle w:val="BibliographyEntry"/>
      </w:pPr>
      <w:r>
        <w:rPr>
          <w:rFonts w:ascii="Times New Roman" w:hAnsi="Times New Roman"/>
          <w:b/>
          <w:sz w:val="22"/>
        </w:rPr>
        <w:t>[22] EnEx Institute (2026).</w:t>
      </w:r>
      <w:r>
        <w:rPr>
          <w:rFonts w:ascii="Times New Roman" w:hAnsi="Times New Roman"/>
          <w:i/>
          <w:sz w:val="22"/>
        </w:rPr>
        <w:t xml:space="preserve"> Model Specification Exergy HUB V4.0 -- Nucleul Energetic Modular al Infrastructurii Comunitare.</w:t>
      </w:r>
      <w:r>
        <w:rPr>
          <w:rFonts w:ascii="Times New Roman" w:hAnsi="Times New Roman"/>
          <w:sz w:val="22"/>
        </w:rPr>
        <w:t xml:space="preserve"> Exergy Consortium.</w:t>
      </w:r>
    </w:p>
    <w:p>
      <w:pPr>
        <w:pStyle w:val="BibliographyEntry"/>
      </w:pPr>
      <w:r>
        <w:rPr>
          <w:rFonts w:ascii="Times New Roman" w:hAnsi="Times New Roman"/>
          <w:b/>
          <w:sz w:val="22"/>
        </w:rPr>
        <w:t>[23] EnEx Institute (2026).</w:t>
      </w:r>
      <w:r>
        <w:rPr>
          <w:rFonts w:ascii="Times New Roman" w:hAnsi="Times New Roman"/>
          <w:i/>
          <w:sz w:val="22"/>
        </w:rPr>
        <w:t xml:space="preserve"> Model Specification Exergy Box V4.0 -- Celula Energetica Standardizata.</w:t>
      </w:r>
      <w:r>
        <w:rPr>
          <w:rFonts w:ascii="Times New Roman" w:hAnsi="Times New Roman"/>
          <w:sz w:val="22"/>
        </w:rPr>
        <w:t xml:space="preserve"> Exergy Consortium.</w:t>
      </w:r>
    </w:p>
    <w:p>
      <w:pPr>
        <w:pStyle w:val="BibliographyEntry"/>
      </w:pPr>
      <w:r>
        <w:rPr>
          <w:rFonts w:ascii="Times New Roman" w:hAnsi="Times New Roman"/>
          <w:b/>
          <w:sz w:val="22"/>
        </w:rPr>
        <w:t>[24] EnEx Institute (2026).</w:t>
      </w:r>
      <w:r>
        <w:rPr>
          <w:rFonts w:ascii="Times New Roman" w:hAnsi="Times New Roman"/>
          <w:i/>
          <w:sz w:val="22"/>
        </w:rPr>
        <w:t xml:space="preserve"> Model Specification Exergy DigitAll System V4.0 -- Sistemul Digital al Exergy Metasystem.</w:t>
      </w:r>
      <w:r>
        <w:rPr>
          <w:rFonts w:ascii="Times New Roman" w:hAnsi="Times New Roman"/>
          <w:sz w:val="22"/>
        </w:rPr>
        <w:t xml:space="preserve"> Exergy Consortium.</w:t>
      </w:r>
    </w:p>
    <w:p>
      <w:pPr>
        <w:pStyle w:val="BibliographyEntry"/>
      </w:pPr>
      <w:r>
        <w:rPr>
          <w:rFonts w:ascii="Times New Roman" w:hAnsi="Times New Roman"/>
          <w:b/>
          <w:sz w:val="22"/>
        </w:rPr>
        <w:t>[25] EnEx Institute (2026).</w:t>
      </w:r>
      <w:r>
        <w:rPr>
          <w:rFonts w:ascii="Times New Roman" w:hAnsi="Times New Roman"/>
          <w:i/>
          <w:sz w:val="22"/>
        </w:rPr>
        <w:t xml:space="preserve"> Fundamentare Conceptuala Exergy Metasystem V4.0.</w:t>
      </w:r>
      <w:r>
        <w:rPr>
          <w:rFonts w:ascii="Times New Roman" w:hAnsi="Times New Roman"/>
          <w:sz w:val="22"/>
        </w:rPr>
        <w:t xml:space="preserve"> Exergy Consortium.</w:t>
      </w:r>
    </w:p>
    <w:p>
      <w:pPr>
        <w:pStyle w:val="BibliographyEntry"/>
      </w:pPr>
      <w:r>
        <w:rPr>
          <w:rFonts w:ascii="Times New Roman" w:hAnsi="Times New Roman"/>
          <w:b/>
          <w:sz w:val="22"/>
        </w:rPr>
        <w:t>[26] EnEx Institute (2026).</w:t>
      </w:r>
      <w:r>
        <w:rPr>
          <w:rFonts w:ascii="Times New Roman" w:hAnsi="Times New Roman"/>
          <w:i/>
          <w:sz w:val="22"/>
        </w:rPr>
        <w:t xml:space="preserve"> Raport Analiza Multicriteriala District Heating V3.0 -- Analiza Generatiilor 1G-7G din Perspectiva Exergetica.</w:t>
      </w:r>
      <w:r>
        <w:rPr>
          <w:rFonts w:ascii="Times New Roman" w:hAnsi="Times New Roman"/>
          <w:sz w:val="22"/>
        </w:rPr>
      </w:r>
    </w:p>
    <w:p>
      <w:pPr>
        <w:pStyle w:val="BibliographyEntry"/>
      </w:pPr>
      <w:r>
        <w:rPr>
          <w:rFonts w:ascii="Times New Roman" w:hAnsi="Times New Roman"/>
          <w:b/>
          <w:sz w:val="22"/>
        </w:rPr>
        <w:t>[27] EnEx Institute (2026).</w:t>
      </w:r>
      <w:r>
        <w:rPr>
          <w:rFonts w:ascii="Times New Roman" w:hAnsi="Times New Roman"/>
          <w:i/>
          <w:sz w:val="22"/>
        </w:rPr>
        <w:t xml:space="preserve"> Adresa de Informare privind Optimizarea Tehnica SMIS 327216 -- Trecerea de la Gen.3 la Gen.6.</w:t>
      </w:r>
      <w:r>
        <w:rPr>
          <w:rFonts w:ascii="Times New Roman" w:hAnsi="Times New Roman"/>
          <w:sz w:val="22"/>
        </w:rPr>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