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AGREGATORUL HOLISTIC MULTI-VECTOR:</w:t>
      </w:r>
    </w:p>
    <w:p>
      <w:pPr>
        <w:pStyle w:val="Title"/>
      </w:pPr>
      <w:r>
        <w:t>OPTIMIZAREA SIMULTANĂ A 13+ VECTORI COMUNITARI</w:t>
      </w:r>
    </w:p>
    <w:p>
      <w:pPr>
        <w:pStyle w:val="Title"/>
      </w:pPr>
      <w:r>
        <w:t>FAȚĂ DE AGREGATOARELE CONVENȚIONALE MONO-VECTOR</w:t>
      </w:r>
    </w:p>
    <w:p>
      <w:pPr>
        <w:pStyle w:val="Title"/>
      </w:pPr>
      <w:r>
        <w:t>ARHITECTURA, DIFERENȚIATORII ȘI VALOAREA ADĂUGATĂ</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Agregatoarele energetice convenționale operează pe un singur vector — de regulă electricitatea — și optimizează un singur criteriu economic: maximizarea profitului pe piața spot. Această abordare unidimensională ignoră sistematic 60–70% din consumul energetic real al unei comunități (care este termic), sacrifică sinergii inter-vectoriale cu valoare ridicată și menține cetățenii în poziția de consumatori pasivi față de infrastructura energetică. Prezenta lucrare documentează arhitectura și performanța Exergy Holistic Aggregator (EHA) — meta-agregatorul multi-vector al Exergy Metasystem (EnEx Institute, 2025–2026) — care optimizează simultan 13 vectori comunitari: electricitate, termic N1/N2/N3 (80–90°C, 50–65°C, 30–45°C), frigorific, combustibil SRF, biomasă, hidrogen verde, stocare electrică, stocare termică stratificată, flexibilitate agregată, carbon (CO₂e), financiar și tokenizare.</w:t>
      </w:r>
    </w:p>
    <w:p>
      <w:pPr/>
      <w:r>
        <w:rPr>
          <w:i/>
        </w:rPr>
        <w:t>Arhitectura EHA se organizează pe cinci dimensiuni simultane de agregare: Multi-Vector (13 vectori), Multi-Scară (7 niveluri ierarhice N0–N6, recursiv), Multi-Dimensiune (5 criterii: η_ex + cost + autonomie + carbon + social), Multi-Temporal (5 orizonturi: &lt;1s PID → 15 min MILP → 24h LSTM → săptămânal RL → strategic Monte Carlo) și Multi-Actor (8 categorii cu guvernanță policentrică). Funcția obiectiv pentadimensională F_EHA = w₁·max(η_ex) + w₂·min(Cost_total) + w₃·max(Autonomie) + w₄·min(Carbon) + w₅·max(Social_Impact) este optimizată prin algoritmi MILP cu rolling horizon de 4h, cu fallback determinist la &lt;30s.</w:t>
      </w:r>
    </w:p>
    <w:p>
      <w:pPr/>
      <w:r>
        <w:rPr>
          <w:i/>
        </w:rPr>
        <w:t>Analiza comparativă demonstrează trei patologii sistemice ale agregatoarelor mono-vector — vandalismul termodinamic (electricitate pentru încălzire la temperaturi joase distruge 75–96% din exergie), fragmentarea economică (valorificarea separată a vectorilor lasă 20–30% din venituri potențiale nerecuperare) și opacitatea socială (cetățenii nu înțeleg, nu participă și nu beneficiază echitabil) — și documentează modul în care EHA le rezolvă structural. Studiul de caz numeric pe o comunitate de 500 gospodării cu HUB 150 kWe + 250 kWth demonstrează Financial Holistic Delta de +86–105% față de abordarea electric-only, Cross-Vector Synergy Gain de +18–25% și tranziția de la carbon pozitiv (+120 tCO₂e/an) la carbon negativ (–50 tCO₂e/an).</w:t>
      </w:r>
    </w:p>
    <w:p>
      <w:pPr/>
      <w:r>
        <w:rPr>
          <w:i/>
        </w:rPr>
        <w:t>Cadrul de 20 KPI structurați pe 4 axe (performanță holistică, exergetici, operaționali, financiari) oferă instrumentul complet de monitorizare și certificare a nivelului de agregare holistică, propus ca referință pentru evaluarea comunităților energetice emergente în contextul Directivei (UE) 2023/1791.</w:t>
      </w:r>
    </w:p>
    <w:p>
      <w:pPr>
        <w:ind w:firstLine="0"/>
      </w:pPr>
    </w:p>
    <w:p>
      <w:pPr>
        <w:pStyle w:val="ChapterHeading"/>
        <w:keepNext/>
      </w:pPr>
      <w:r>
        <w:t>1. Introducere — Limitele Structurale ale Agregării Mono-vector</w:t>
      </w:r>
    </w:p>
    <w:p>
      <w:pPr>
        <w:ind w:firstLine="0"/>
      </w:pPr>
    </w:p>
    <w:p>
      <w:pPr>
        <w:pStyle w:val="SubHeading"/>
        <w:keepNext/>
      </w:pPr>
      <w:r>
        <w:t>1.1 Starea artei în agregarea energetică comunitară</w:t>
      </w:r>
    </w:p>
    <w:p>
      <w:pPr>
        <w:ind w:firstLine="0"/>
      </w:pPr>
    </w:p>
    <w:p>
      <w:pPr/>
      <w:r>
        <w:t>Agregatoarele energetice au apărut în literatura de specialitate și pe piața europeană odată cu liberalizarea piețelor de energie (Directiva 96/92/CE) și au proliferat rapid odată cu penetrarea masivă a surselor regenerabile intermitente. Rolul lor canonic — agreg[area] producției și consumului distribuit pentru a forma un Prosumator Virtual de Putere (VPP — Virtual Power Plant) capabil să participe pe piețele de energie — este bine documentat (Pudjianto et al. 2007, Morales et al. 2013, Vasilj et al. 2021).</w:t>
      </w:r>
    </w:p>
    <w:p>
      <w:pPr/>
      <w:r>
        <w:t>Totuși, starea actuală a agregatoarelor comerciale prezintă o limitare structurală fundamentală: operează exclusiv pe vectorul electric. Justificarea istorică este clară — piețele organizate de energie (OPCOM în România, EPEX SPOT în Europa de Vest, Nord Pool în Scandinavia) sunt piețe electrice; reglementarea ANRE și ENTSO-E se referă la fluxuri electrice; infrastructura de măsurare și comunicare (smart meters, AMI) s-a dezvoltat pentru electricitate. Această logică de piață a imprimat o orbire structurală agregatoarelor față de celelalte forme de energie.</w:t>
      </w:r>
    </w:p>
    <w:p>
      <w:pPr>
        <w:ind w:firstLine="0"/>
      </w:pPr>
    </w:p>
    <w:p>
      <w:pPr>
        <w:pStyle w:val="SubHeading"/>
        <w:keepNext/>
      </w:pPr>
      <w:r>
        <w:t>1.2 Trei patologii ale optimizării mono-vector</w:t>
      </w:r>
    </w:p>
    <w:p>
      <w:pPr>
        <w:ind w:firstLine="0"/>
      </w:pPr>
    </w:p>
    <w:p>
      <w:pPr/>
      <w:r>
        <w:t>Optimizarea exclusiv electrică a comunităților cu infrastructură multi-vector produce trei patologii sistemice identificate și formalizate în cadrul EnEx Institute (2025):</w:t>
      </w:r>
    </w:p>
    <w:p>
      <w:pPr>
        <w:ind w:firstLine="0"/>
      </w:pPr>
    </w:p>
    <w:p>
      <w:pPr>
        <w:pStyle w:val="TableCaption"/>
      </w:pPr>
      <w:r>
        <w:t>Tabel 1. Analiza patologiei vandalismului termodinamic în sistemele energetice</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PATOLOGIA P1: Vandalismul Termodinamic</w:t>
            </w:r>
          </w:p>
        </w:tc>
      </w:tr>
      <w:tr>
        <w:tc>
          <w:tcPr>
            <w:tcW w:type="dxa" w:w="7710"/>
          </w:tcPr>
          <w:p>
            <w:pPr>
              <w:spacing w:before="0" w:after="0"/>
              <w:ind w:firstLine="0"/>
              <w:jc w:val="left"/>
            </w:pPr>
            <w:r>
              <w:rPr>
                <w:rFonts w:ascii="Times New Roman" w:hAnsi="Times New Roman"/>
                <w:sz w:val="22"/>
              </w:rPr>
              <w:t>PATOLOGIA P1 — Vandalism Termodinamic: Utilizarea electricității pentru satisfacerea cererilor termice la temperaturi joase (încălzire 40–60°C, apă caldă menajeră 55°C) prin rezistențe electrice sau pompe de căldură mono-sursă distruge 75–96% din exergia electricității în mod ireversibil (ex: o rezistență electrică la 55°C produce QMF = 0.04 — distrug 96% din valoarea exergetică a energiei). Un agregator holistic vede simultan vectorul electric și cel termic și alocă fiecare cerere sursei cu exergia adecvată — eliminând vandalismul termodinamic.</w:t>
            </w:r>
          </w:p>
        </w:tc>
      </w:tr>
    </w:tbl>
    <w:p>
      <w:pPr>
        <w:ind w:firstLine="0"/>
      </w:pPr>
    </w:p>
    <w:p>
      <w:pPr>
        <w:ind w:firstLine="0"/>
      </w:pPr>
    </w:p>
    <w:p>
      <w:pPr>
        <w:pStyle w:val="TableCaption"/>
      </w:pPr>
      <w:r>
        <w:t>Tabel 2. Caracterizarea fragmentării economice ca patologie sistemică</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PATOLOGIA P2: Fragmentarea Economică</w:t>
            </w:r>
          </w:p>
        </w:tc>
      </w:tr>
      <w:tr>
        <w:tc>
          <w:tcPr>
            <w:tcW w:type="dxa" w:w="7710"/>
          </w:tcPr>
          <w:p>
            <w:pPr>
              <w:spacing w:before="0" w:after="0"/>
              <w:ind w:firstLine="0"/>
              <w:jc w:val="left"/>
            </w:pPr>
            <w:r>
              <w:rPr>
                <w:rFonts w:ascii="Times New Roman" w:hAnsi="Times New Roman"/>
                <w:sz w:val="22"/>
              </w:rPr>
              <w:t>PATOLOGIA P2 — Fragmentarea Economică: Valorificarea separată și necorelată a electricității (piață spot), certificatelor verzi (ANRE), certificatelor carbon (EU-ETS), flexibilității (piața de echilibrare) și combustibililor regenerabili (prețuri bilaterale) lasă pe masă sinergii care există numai la intersecția acestor fluxuri. Exemplu: decizia de a produce biochar (carbon credit 150 EUR/tCO₂) este optim când SynTech funcționează la putere parțială — dar un agregator electric vede numai că CHP produce mai puțin kWh electric și poate decide să oprească sistemul. Revenue stacking corect necesită optimizare simultană.</w:t>
            </w:r>
          </w:p>
        </w:tc>
      </w:tr>
    </w:tbl>
    <w:p>
      <w:pPr>
        <w:ind w:firstLine="0"/>
      </w:pPr>
    </w:p>
    <w:p>
      <w:pPr>
        <w:ind w:firstLine="0"/>
      </w:pPr>
    </w:p>
    <w:p>
      <w:pPr>
        <w:pStyle w:val="TableCaption"/>
      </w:pPr>
      <w:r>
        <w:t>Tabel 3. Descrierea opacității sociale în contextul agregării energetice</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PATOLOGIA P3: Opacitatea Socială</w:t>
            </w:r>
          </w:p>
        </w:tc>
      </w:tr>
      <w:tr>
        <w:tc>
          <w:tcPr>
            <w:tcW w:type="dxa" w:w="7710"/>
          </w:tcPr>
          <w:p>
            <w:pPr>
              <w:spacing w:before="0" w:after="0"/>
              <w:ind w:firstLine="0"/>
              <w:jc w:val="left"/>
            </w:pPr>
            <w:r>
              <w:rPr>
                <w:rFonts w:ascii="Times New Roman" w:hAnsi="Times New Roman"/>
                <w:sz w:val="22"/>
              </w:rPr>
              <w:t>PATOLOGIA P3 — Opacitatea Socială: Agregatoarele clasice operează ca entități corporative opace față de cetățenii ale căror active le gestionează. Membrii comunității nu înțeleg deciziile de dispatch, nu participă la definirea funcției obiectiv și nu beneficiază echitabil de valorile create. Această opacitate generează neîncredere, participare scăzută și perpetuarea sărăciei energetice în comunitățile vulnerabile. EHA integrează transparența algoritmică și guvernanța democratică ca dimensiuni native ale agregării.</w:t>
            </w:r>
          </w:p>
        </w:tc>
      </w:tr>
    </w:tbl>
    <w:p>
      <w:pPr>
        <w:ind w:firstLine="0"/>
      </w:pPr>
    </w:p>
    <w:p>
      <w:pPr>
        <w:ind w:firstLine="0"/>
      </w:pPr>
    </w:p>
    <w:p>
      <w:pPr>
        <w:pStyle w:val="SubHeading"/>
        <w:keepNext/>
      </w:pPr>
      <w:r>
        <w:t>1.3 Obiectivele lucrării</w:t>
      </w:r>
    </w:p>
    <w:p>
      <w:pPr>
        <w:ind w:firstLine="0"/>
      </w:pPr>
    </w:p>
    <w:p>
      <w:pPr/>
      <w:r>
        <w:t>Prezenta lucrare urmărește patru obiective: (1) documentarea completă a arhitecturii EHA — cei 13 vectori, cele 5 dimensiuni de agregare, stiva algoritmică pe 4 niveluri; (2) formalizarea matematică a funcției obiectiv pentadimensionale și a algoritmilor de optimizare MILP/RL; (3) demonstrarea cantitativă a diferențiatorilor față de agregatoarele convenționale prin analiză comparativă structurată pe 12 criterii; (4) propunerea unui cadru de 20 KPI pentru certificarea și monitorizarea nivelului de agregare holistică.</w:t>
      </w:r>
    </w:p>
    <w:p>
      <w:pPr>
        <w:ind w:firstLine="0"/>
      </w:pPr>
    </w:p>
    <w:p>
      <w:pPr>
        <w:pStyle w:val="ChapterHeading"/>
        <w:keepNext/>
      </w:pPr>
      <w:r>
        <w:t>2. Fundamentul Termodinamic al Agregării Holistice</w:t>
      </w:r>
    </w:p>
    <w:p>
      <w:pPr>
        <w:ind w:firstLine="0"/>
      </w:pPr>
    </w:p>
    <w:p>
      <w:pPr>
        <w:pStyle w:val="SubHeading"/>
        <w:keepNext/>
      </w:pPr>
      <w:r>
        <w:t>2.1 Exergia teritorială ca funcție obiectiv fundamentală</w:t>
      </w:r>
    </w:p>
    <w:p>
      <w:pPr>
        <w:ind w:firstLine="0"/>
      </w:pPr>
    </w:p>
    <w:p>
      <w:pPr/>
      <w:r>
        <w:t>Motivația termodinamică a EHA este minimizarea distrugerii de exergie la nivel teritorial. Spre deosebire de agregatoarele clasice care minimizează costul energiei cumpărate sau maximizează profitul din vânzarea electricității — ambele criterii de ordinul I (energetice, nu exergetice) — EHA aplică al doilea principiu al termodinamicii ca criteriu de optimizare primar.</w:t>
      </w:r>
    </w:p>
    <w:p>
      <w:pPr>
        <w:ind w:firstLine="0"/>
      </w:pPr>
    </w:p>
    <w:p>
      <w:pPr>
        <w:pStyle w:val="TableCaption"/>
      </w:pPr>
      <w:r>
        <w:t>Tabel 4. Ecuația fundamentală pentru agregatorul holistic exergetic</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ECUAȚIA CENTRALĂ A EXERGY HOLISTIC AGGREGATOR</w:t>
            </w:r>
          </w:p>
        </w:tc>
      </w:tr>
      <w:tr>
        <w:tc>
          <w:tcPr>
            <w:tcW w:type="dxa" w:w="7710"/>
          </w:tcPr>
          <w:p>
            <w:pPr>
              <w:spacing w:before="0" w:after="0"/>
              <w:ind w:firstLine="0"/>
              <w:jc w:val="left"/>
            </w:pPr>
            <w:r>
              <w:rPr>
                <w:rFonts w:ascii="Times New Roman" w:hAnsi="Times New Roman"/>
                <w:sz w:val="22"/>
              </w:rPr>
              <w:t>Ex_destroyed,teritoriu = Σᵢ Ex_in,i – Σⱼ Ex_out,useful,j – Σₖ ΔEx_stored,k  ≥  0</w:t>
            </w:r>
          </w:p>
        </w:tc>
      </w:tr>
      <w:tr>
        <w:tc>
          <w:tcPr>
            <w:tcW w:type="dxa" w:w="7710"/>
          </w:tcPr>
          <w:p>
            <w:pPr>
              <w:spacing w:before="0" w:after="0"/>
              <w:ind w:firstLine="0"/>
              <w:jc w:val="left"/>
            </w:pPr>
            <w:r>
              <w:rPr>
                <w:rFonts w:ascii="Times New Roman" w:hAnsi="Times New Roman"/>
                <w:sz w:val="22"/>
              </w:rPr>
              <w:t>Principiul II: entropia totală a universului nu scade. EHA minimizează Ex_destroyed prin: (1) cascadă termodinamică — fiecare flux la nivelul exergetic maxim; (2) Quality Matching permanent — sursa optimă pentru fiecare cerere; (3) recuperare fluxuri reziduale; (4) stocare stratificată per nivel T și formă de energie. Unități: [kWh_ex/h]; calculat pe toți vectorii simultani la interval de 15 minute.</w:t>
            </w:r>
          </w:p>
        </w:tc>
      </w:tr>
    </w:tbl>
    <w:p>
      <w:pPr>
        <w:ind w:firstLine="0"/>
      </w:pPr>
    </w:p>
    <w:p>
      <w:pPr>
        <w:ind w:firstLine="0"/>
      </w:pPr>
    </w:p>
    <w:p>
      <w:pPr>
        <w:pStyle w:val="SubHeading"/>
        <w:keepNext/>
      </w:pPr>
      <w:r>
        <w:t>2.2 Quality matching factor (qmf) ca constrângere hard</w:t>
      </w:r>
    </w:p>
    <w:p>
      <w:pPr>
        <w:ind w:firstLine="0"/>
      </w:pPr>
    </w:p>
    <w:p>
      <w:pPr/>
      <w:r>
        <w:t>EHA impune Quality Matching Factor minim (QMF_min = 0.75 în rețea) ca o constrângere hard a problemei de optimizare — nu ca un obiectiv opțional. Aceasta înseamnă că nici o decizie de dispatch care ar produce QMF &lt; 0.75 pe un vector termic nu este acceptată de algoritm, chiar dacă ar fi economic mai ieftină pe termen scurt. Constrângerea reflectă principiul P1 al Exergy Metasystem (Maximizarea Exergiei) ca regulă de guvernanță energetică non-negociabilă.</w:t>
      </w:r>
    </w:p>
    <w:p>
      <w:pPr>
        <w:ind w:firstLine="0"/>
      </w:pPr>
    </w:p>
    <w:p>
      <w:pPr>
        <w:pStyle w:val="TableCaption"/>
      </w:pPr>
      <w:r>
        <w:t>Tabel 5. Factorul de potrivire calitativă ca constrângere în optimizarea MILP</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QUALITY MATCHING FACTOR — CONSTRÂNGERE HARD ÎN MILP</w:t>
            </w:r>
          </w:p>
        </w:tc>
      </w:tr>
      <w:tr>
        <w:tc>
          <w:tcPr>
            <w:tcW w:type="dxa" w:w="7710"/>
          </w:tcPr>
          <w:p>
            <w:pPr>
              <w:spacing w:before="0" w:after="0"/>
              <w:ind w:firstLine="0"/>
              <w:jc w:val="left"/>
            </w:pPr>
            <w:r>
              <w:rPr>
                <w:rFonts w:ascii="Times New Roman" w:hAnsi="Times New Roman"/>
                <w:sz w:val="22"/>
              </w:rPr>
              <w:t>QMF(T_cerere, T_sursă) = (1 – T₀/T_cerere) / (1 – T₀/T_sursă)  ≥  QMF_min = 0.75</w:t>
            </w:r>
          </w:p>
        </w:tc>
      </w:tr>
      <w:tr>
        <w:tc>
          <w:tcPr>
            <w:tcW w:type="dxa" w:w="7710"/>
          </w:tcPr>
          <w:p>
            <w:pPr>
              <w:spacing w:before="0" w:after="0"/>
              <w:ind w:firstLine="0"/>
              <w:jc w:val="left"/>
            </w:pPr>
            <w:r>
              <w:rPr>
                <w:rFonts w:ascii="Times New Roman" w:hAnsi="Times New Roman"/>
                <w:sz w:val="22"/>
              </w:rPr>
              <w:t>T₀ = 283 K (10°C, referință climatică Romania continentală); T_cerere și T_sursă în Kelvin. Exemplu: a utiliza CHP termic N1 (T=363 K, 90°C) pentru cerere N3 (T=308 K, 35°C) produce QMF=0.258 — RESPINS de MILP. EHA redirecționează N1 spre cereri N1/N2 și satisface N3 din cascadă sau pompă de căldură.</w:t>
            </w:r>
          </w:p>
        </w:tc>
      </w:tr>
    </w:tbl>
    <w:p>
      <w:pPr>
        <w:ind w:firstLine="0"/>
      </w:pPr>
    </w:p>
    <w:p>
      <w:pPr>
        <w:ind w:firstLine="0"/>
      </w:pPr>
    </w:p>
    <w:p>
      <w:pPr>
        <w:pStyle w:val="SubHeading"/>
        <w:keepNext/>
      </w:pPr>
      <w:r>
        <w:t>2.3 Cei 13 vectori comunitari — tabloul complet</w:t>
      </w:r>
    </w:p>
    <w:p>
      <w:pPr>
        <w:ind w:firstLine="0"/>
      </w:pPr>
    </w:p>
    <w:p>
      <w:pPr/>
      <w:r>
        <w:t>Tabelul 1 prezintă inventarul complet al celor 13 vectori agregați de EHA, cu unitățile de măsură, granularitatea temporală, conținutul exergetic tipic și caracteristica specfică față de agregatoarele convenționale:</w:t>
      </w:r>
    </w:p>
    <w:p>
      <w:pPr/>
      <w:r>
        <w:t>Vectorii agregați și caracteristicile specifice ale sistemului EHA sunt prezentați în Tabelul 6.</w:t>
      </w:r>
    </w:p>
    <w:p>
      <w:pPr>
        <w:ind w:firstLine="0"/>
      </w:pPr>
    </w:p>
    <w:p>
      <w:pPr>
        <w:pStyle w:val="TableCaption"/>
      </w:pPr>
      <w:r>
        <w:t>Tabel 6. Vectorii agregați și caracteristicile specifice ale sistemului EHA</w:t>
      </w:r>
    </w:p>
    <w:tbl>
      <w:tblPr>
        <w:tblStyle w:val="TableGrid"/>
        <w:tblW w:type="auto" w:w="0"/>
        <w:jc w:val="center"/>
        <w:tblLook w:firstColumn="1" w:firstRow="1" w:lastColumn="0" w:lastRow="0" w:noHBand="0" w:noVBand="1" w:val="04A0"/>
      </w:tblPr>
      <w:tblGrid>
        <w:gridCol w:w="1101"/>
        <w:gridCol w:w="1101"/>
        <w:gridCol w:w="1101"/>
        <w:gridCol w:w="1101"/>
        <w:gridCol w:w="1101"/>
        <w:gridCol w:w="1101"/>
        <w:gridCol w:w="1101"/>
      </w:tblGrid>
      <w:tr>
        <w:tc>
          <w:tcPr>
            <w:tcW w:type="dxa" w:w="1101"/>
          </w:tcPr>
          <w:p>
            <w:pPr>
              <w:spacing w:before="0" w:after="0"/>
              <w:ind w:firstLine="0"/>
              <w:jc w:val="left"/>
            </w:pPr>
            <w:r>
              <w:rPr>
                <w:rFonts w:ascii="Times New Roman" w:hAnsi="Times New Roman"/>
                <w:b/>
                <w:sz w:val="22"/>
              </w:rPr>
              <w:t>#</w:t>
            </w:r>
          </w:p>
        </w:tc>
        <w:tc>
          <w:tcPr>
            <w:tcW w:type="dxa" w:w="1101"/>
          </w:tcPr>
          <w:p>
            <w:pPr>
              <w:spacing w:before="0" w:after="0"/>
              <w:ind w:firstLine="0"/>
              <w:jc w:val="left"/>
            </w:pPr>
            <w:r>
              <w:rPr>
                <w:rFonts w:ascii="Times New Roman" w:hAnsi="Times New Roman"/>
                <w:b/>
                <w:sz w:val="22"/>
              </w:rPr>
              <w:t>Vector Agregat</w:t>
            </w:r>
          </w:p>
        </w:tc>
        <w:tc>
          <w:tcPr>
            <w:tcW w:type="dxa" w:w="1101"/>
          </w:tcPr>
          <w:p>
            <w:pPr>
              <w:spacing w:before="0" w:after="0"/>
              <w:ind w:firstLine="0"/>
              <w:jc w:val="left"/>
            </w:pPr>
            <w:r>
              <w:rPr>
                <w:rFonts w:ascii="Times New Roman" w:hAnsi="Times New Roman"/>
                <w:b/>
                <w:sz w:val="22"/>
              </w:rPr>
              <w:t>Unități</w:t>
            </w:r>
          </w:p>
        </w:tc>
        <w:tc>
          <w:tcPr>
            <w:tcW w:type="dxa" w:w="1101"/>
          </w:tcPr>
          <w:p>
            <w:pPr>
              <w:spacing w:before="0" w:after="0"/>
              <w:ind w:firstLine="0"/>
              <w:jc w:val="left"/>
            </w:pPr>
            <w:r>
              <w:rPr>
                <w:rFonts w:ascii="Times New Roman" w:hAnsi="Times New Roman"/>
                <w:b/>
                <w:sz w:val="22"/>
              </w:rPr>
              <w:t>Granularitate</w:t>
            </w:r>
          </w:p>
        </w:tc>
        <w:tc>
          <w:tcPr>
            <w:tcW w:type="dxa" w:w="1101"/>
          </w:tcPr>
          <w:p>
            <w:pPr>
              <w:spacing w:before="0" w:after="0"/>
              <w:ind w:firstLine="0"/>
              <w:jc w:val="left"/>
            </w:pPr>
            <w:r>
              <w:rPr>
                <w:rFonts w:ascii="Times New Roman" w:hAnsi="Times New Roman"/>
                <w:b/>
                <w:sz w:val="22"/>
              </w:rPr>
              <w:t>Ex. conținut (η_ex)</w:t>
            </w:r>
          </w:p>
        </w:tc>
        <w:tc>
          <w:tcPr>
            <w:tcW w:type="dxa" w:w="1101"/>
          </w:tcPr>
          <w:p>
            <w:pPr>
              <w:spacing w:before="0" w:after="0"/>
              <w:ind w:firstLine="0"/>
              <w:jc w:val="left"/>
            </w:pPr>
            <w:r>
              <w:rPr>
                <w:rFonts w:ascii="Times New Roman" w:hAnsi="Times New Roman"/>
                <w:b/>
                <w:sz w:val="22"/>
              </w:rPr>
              <w:t>Sursă principală</w:t>
            </w:r>
          </w:p>
        </w:tc>
        <w:tc>
          <w:tcPr>
            <w:tcW w:type="dxa" w:w="1101"/>
          </w:tcPr>
          <w:p>
            <w:pPr>
              <w:spacing w:before="0" w:after="0"/>
              <w:ind w:firstLine="0"/>
              <w:jc w:val="left"/>
            </w:pPr>
            <w:r>
              <w:rPr>
                <w:rFonts w:ascii="Times New Roman" w:hAnsi="Times New Roman"/>
                <w:b/>
                <w:sz w:val="22"/>
              </w:rPr>
              <w:t>Caracteristică SPECIFICĂ EHA vs. Convențional</w:t>
            </w:r>
          </w:p>
        </w:tc>
      </w:tr>
      <w:tr>
        <w:tc>
          <w:tcPr>
            <w:tcW w:type="dxa" w:w="1101"/>
          </w:tcPr>
          <w:p>
            <w:pPr>
              <w:spacing w:before="0" w:after="0"/>
              <w:ind w:firstLine="0"/>
              <w:jc w:val="left"/>
            </w:pPr>
            <w:r>
              <w:rPr>
                <w:rFonts w:ascii="Times New Roman" w:hAnsi="Times New Roman"/>
                <w:sz w:val="22"/>
              </w:rPr>
              <w:t>V01</w:t>
            </w:r>
          </w:p>
        </w:tc>
        <w:tc>
          <w:tcPr>
            <w:tcW w:type="dxa" w:w="1101"/>
          </w:tcPr>
          <w:p>
            <w:pPr>
              <w:spacing w:before="0" w:after="0"/>
              <w:ind w:firstLine="0"/>
              <w:jc w:val="left"/>
            </w:pPr>
            <w:r>
              <w:rPr>
                <w:rFonts w:ascii="Times New Roman" w:hAnsi="Times New Roman"/>
                <w:sz w:val="22"/>
              </w:rPr>
              <w:t>Electricitate</w:t>
            </w:r>
          </w:p>
        </w:tc>
        <w:tc>
          <w:tcPr>
            <w:tcW w:type="dxa" w:w="1101"/>
          </w:tcPr>
          <w:p>
            <w:pPr>
              <w:spacing w:before="0" w:after="0"/>
              <w:ind w:firstLine="0"/>
              <w:jc w:val="left"/>
            </w:pPr>
            <w:r>
              <w:rPr>
                <w:rFonts w:ascii="Times New Roman" w:hAnsi="Times New Roman"/>
                <w:sz w:val="22"/>
              </w:rPr>
              <w:t>kWh, kW, kVar</w:t>
            </w:r>
          </w:p>
        </w:tc>
        <w:tc>
          <w:tcPr>
            <w:tcW w:type="dxa" w:w="1101"/>
          </w:tcPr>
          <w:p>
            <w:pPr>
              <w:spacing w:before="0" w:after="0"/>
              <w:ind w:firstLine="0"/>
              <w:jc w:val="left"/>
            </w:pPr>
            <w:r>
              <w:rPr>
                <w:rFonts w:ascii="Times New Roman" w:hAnsi="Times New Roman"/>
                <w:sz w:val="22"/>
              </w:rPr>
              <w:t>Real-time</w:t>
            </w:r>
          </w:p>
        </w:tc>
        <w:tc>
          <w:tcPr>
            <w:tcW w:type="dxa" w:w="1101"/>
          </w:tcPr>
          <w:p>
            <w:pPr>
              <w:spacing w:before="0" w:after="0"/>
              <w:ind w:firstLine="0"/>
              <w:jc w:val="left"/>
            </w:pPr>
            <w:r>
              <w:rPr>
                <w:rFonts w:ascii="Times New Roman" w:hAnsi="Times New Roman"/>
                <w:sz w:val="22"/>
              </w:rPr>
              <w:t>100%</w:t>
            </w:r>
          </w:p>
        </w:tc>
        <w:tc>
          <w:tcPr>
            <w:tcW w:type="dxa" w:w="1101"/>
          </w:tcPr>
          <w:p>
            <w:pPr>
              <w:spacing w:before="0" w:after="0"/>
              <w:ind w:firstLine="0"/>
              <w:jc w:val="left"/>
            </w:pPr>
            <w:r>
              <w:rPr>
                <w:rFonts w:ascii="Times New Roman" w:hAnsi="Times New Roman"/>
                <w:sz w:val="22"/>
              </w:rPr>
              <w:t>PV, CHP, eolian, V2G, pile H₂</w:t>
            </w:r>
          </w:p>
        </w:tc>
        <w:tc>
          <w:tcPr>
            <w:tcW w:type="dxa" w:w="1101"/>
          </w:tcPr>
          <w:p>
            <w:pPr>
              <w:spacing w:before="0" w:after="0"/>
              <w:ind w:firstLine="0"/>
              <w:jc w:val="left"/>
            </w:pPr>
            <w:r>
              <w:rPr>
                <w:rFonts w:ascii="Times New Roman" w:hAnsi="Times New Roman"/>
                <w:sz w:val="22"/>
              </w:rPr>
              <w:t>Standard EM dar corelat cu toți vectorii termici și de combustibil; import/export net arbitrat optim pe OPCOM</w:t>
            </w:r>
          </w:p>
        </w:tc>
      </w:tr>
      <w:tr>
        <w:tc>
          <w:tcPr>
            <w:tcW w:type="dxa" w:w="1101"/>
          </w:tcPr>
          <w:p>
            <w:pPr>
              <w:spacing w:before="0" w:after="0"/>
              <w:ind w:firstLine="0"/>
              <w:jc w:val="left"/>
            </w:pPr>
            <w:r>
              <w:rPr>
                <w:rFonts w:ascii="Times New Roman" w:hAnsi="Times New Roman"/>
                <w:sz w:val="22"/>
              </w:rPr>
              <w:t>V02</w:t>
            </w:r>
          </w:p>
        </w:tc>
        <w:tc>
          <w:tcPr>
            <w:tcW w:type="dxa" w:w="1101"/>
          </w:tcPr>
          <w:p>
            <w:pPr>
              <w:spacing w:before="0" w:after="0"/>
              <w:ind w:firstLine="0"/>
              <w:jc w:val="left"/>
            </w:pPr>
            <w:r>
              <w:rPr>
                <w:rFonts w:ascii="Times New Roman" w:hAnsi="Times New Roman"/>
                <w:sz w:val="22"/>
              </w:rPr>
              <w:t>Termic N1 (80–90°C)</w:t>
            </w:r>
          </w:p>
        </w:tc>
        <w:tc>
          <w:tcPr>
            <w:tcW w:type="dxa" w:w="1101"/>
          </w:tcPr>
          <w:p>
            <w:pPr>
              <w:spacing w:before="0" w:after="0"/>
              <w:ind w:firstLine="0"/>
              <w:jc w:val="left"/>
            </w:pPr>
            <w:r>
              <w:rPr>
                <w:rFonts w:ascii="Times New Roman" w:hAnsi="Times New Roman"/>
                <w:sz w:val="22"/>
              </w:rPr>
              <w:t>kWh_th, kW_th</w:t>
            </w:r>
          </w:p>
        </w:tc>
        <w:tc>
          <w:tcPr>
            <w:tcW w:type="dxa" w:w="1101"/>
          </w:tcPr>
          <w:p>
            <w:pPr>
              <w:spacing w:before="0" w:after="0"/>
              <w:ind w:firstLine="0"/>
              <w:jc w:val="left"/>
            </w:pPr>
            <w:r>
              <w:rPr>
                <w:rFonts w:ascii="Times New Roman" w:hAnsi="Times New Roman"/>
                <w:sz w:val="22"/>
              </w:rPr>
              <w:t>Real-time</w:t>
            </w:r>
          </w:p>
        </w:tc>
        <w:tc>
          <w:tcPr>
            <w:tcW w:type="dxa" w:w="1101"/>
          </w:tcPr>
          <w:p>
            <w:pPr>
              <w:spacing w:before="0" w:after="0"/>
              <w:ind w:firstLine="0"/>
              <w:jc w:val="left"/>
            </w:pPr>
            <w:r>
              <w:rPr>
                <w:rFonts w:ascii="Times New Roman" w:hAnsi="Times New Roman"/>
                <w:sz w:val="22"/>
              </w:rPr>
              <w:t>55–65%</w:t>
            </w:r>
          </w:p>
        </w:tc>
        <w:tc>
          <w:tcPr>
            <w:tcW w:type="dxa" w:w="1101"/>
          </w:tcPr>
          <w:p>
            <w:pPr>
              <w:spacing w:before="0" w:after="0"/>
              <w:ind w:firstLine="0"/>
              <w:jc w:val="left"/>
            </w:pPr>
            <w:r>
              <w:rPr>
                <w:rFonts w:ascii="Times New Roman" w:hAnsi="Times New Roman"/>
                <w:sz w:val="22"/>
              </w:rPr>
              <w:t>CHP SynTech, căldură industrială reziduală</w:t>
            </w:r>
          </w:p>
        </w:tc>
        <w:tc>
          <w:tcPr>
            <w:tcW w:type="dxa" w:w="1101"/>
          </w:tcPr>
          <w:p>
            <w:pPr>
              <w:spacing w:before="0" w:after="0"/>
              <w:ind w:firstLine="0"/>
              <w:jc w:val="left"/>
            </w:pPr>
            <w:r>
              <w:rPr>
                <w:rFonts w:ascii="Times New Roman" w:hAnsi="Times New Roman"/>
                <w:sz w:val="22"/>
              </w:rPr>
              <w:t>SPECIFIC EHA: agregare separată pe nivel de temperatură (QM); furnizare ACM, proces industial, subst. gaz natural</w:t>
            </w:r>
          </w:p>
        </w:tc>
      </w:tr>
      <w:tr>
        <w:tc>
          <w:tcPr>
            <w:tcW w:type="dxa" w:w="1101"/>
          </w:tcPr>
          <w:p>
            <w:pPr>
              <w:spacing w:before="0" w:after="0"/>
              <w:ind w:firstLine="0"/>
              <w:jc w:val="left"/>
            </w:pPr>
            <w:r>
              <w:rPr>
                <w:rFonts w:ascii="Times New Roman" w:hAnsi="Times New Roman"/>
                <w:sz w:val="22"/>
              </w:rPr>
              <w:t>V03</w:t>
            </w:r>
          </w:p>
        </w:tc>
        <w:tc>
          <w:tcPr>
            <w:tcW w:type="dxa" w:w="1101"/>
          </w:tcPr>
          <w:p>
            <w:pPr>
              <w:spacing w:before="0" w:after="0"/>
              <w:ind w:firstLine="0"/>
              <w:jc w:val="left"/>
            </w:pPr>
            <w:r>
              <w:rPr>
                <w:rFonts w:ascii="Times New Roman" w:hAnsi="Times New Roman"/>
                <w:sz w:val="22"/>
              </w:rPr>
              <w:t>Termic N2 (50–65°C)</w:t>
            </w:r>
          </w:p>
        </w:tc>
        <w:tc>
          <w:tcPr>
            <w:tcW w:type="dxa" w:w="1101"/>
          </w:tcPr>
          <w:p>
            <w:pPr>
              <w:spacing w:before="0" w:after="0"/>
              <w:ind w:firstLine="0"/>
              <w:jc w:val="left"/>
            </w:pPr>
            <w:r>
              <w:rPr>
                <w:rFonts w:ascii="Times New Roman" w:hAnsi="Times New Roman"/>
                <w:sz w:val="22"/>
              </w:rPr>
              <w:t>kWh_th, kW_th</w:t>
            </w:r>
          </w:p>
        </w:tc>
        <w:tc>
          <w:tcPr>
            <w:tcW w:type="dxa" w:w="1101"/>
          </w:tcPr>
          <w:p>
            <w:pPr>
              <w:spacing w:before="0" w:after="0"/>
              <w:ind w:firstLine="0"/>
              <w:jc w:val="left"/>
            </w:pPr>
            <w:r>
              <w:rPr>
                <w:rFonts w:ascii="Times New Roman" w:hAnsi="Times New Roman"/>
                <w:sz w:val="22"/>
              </w:rPr>
              <w:t>Real-time</w:t>
            </w:r>
          </w:p>
        </w:tc>
        <w:tc>
          <w:tcPr>
            <w:tcW w:type="dxa" w:w="1101"/>
          </w:tcPr>
          <w:p>
            <w:pPr>
              <w:spacing w:before="0" w:after="0"/>
              <w:ind w:firstLine="0"/>
              <w:jc w:val="left"/>
            </w:pPr>
            <w:r>
              <w:rPr>
                <w:rFonts w:ascii="Times New Roman" w:hAnsi="Times New Roman"/>
                <w:sz w:val="22"/>
              </w:rPr>
              <w:t>35–45%</w:t>
            </w:r>
          </w:p>
        </w:tc>
        <w:tc>
          <w:tcPr>
            <w:tcW w:type="dxa" w:w="1101"/>
          </w:tcPr>
          <w:p>
            <w:pPr>
              <w:spacing w:before="0" w:after="0"/>
              <w:ind w:firstLine="0"/>
              <w:jc w:val="left"/>
            </w:pPr>
            <w:r>
              <w:rPr>
                <w:rFonts w:ascii="Times New Roman" w:hAnsi="Times New Roman"/>
                <w:sz w:val="22"/>
              </w:rPr>
              <w:t>Pompe căldură, solar termic, rezidual N1</w:t>
            </w:r>
          </w:p>
        </w:tc>
        <w:tc>
          <w:tcPr>
            <w:tcW w:type="dxa" w:w="1101"/>
          </w:tcPr>
          <w:p>
            <w:pPr>
              <w:spacing w:before="0" w:after="0"/>
              <w:ind w:firstLine="0"/>
              <w:jc w:val="left"/>
            </w:pPr>
            <w:r>
              <w:rPr>
                <w:rFonts w:ascii="Times New Roman" w:hAnsi="Times New Roman"/>
                <w:sz w:val="22"/>
              </w:rPr>
              <w:t>SPECIFIC EHA: cascadă directă din N1; sursa prioritară pentru încălzire spațiu și confort termic</w:t>
            </w:r>
          </w:p>
        </w:tc>
      </w:tr>
      <w:tr>
        <w:tc>
          <w:tcPr>
            <w:tcW w:type="dxa" w:w="1101"/>
          </w:tcPr>
          <w:p>
            <w:pPr>
              <w:spacing w:before="0" w:after="0"/>
              <w:ind w:firstLine="0"/>
              <w:jc w:val="left"/>
            </w:pPr>
            <w:r>
              <w:rPr>
                <w:rFonts w:ascii="Times New Roman" w:hAnsi="Times New Roman"/>
                <w:sz w:val="22"/>
              </w:rPr>
              <w:t>V04</w:t>
            </w:r>
          </w:p>
        </w:tc>
        <w:tc>
          <w:tcPr>
            <w:tcW w:type="dxa" w:w="1101"/>
          </w:tcPr>
          <w:p>
            <w:pPr>
              <w:spacing w:before="0" w:after="0"/>
              <w:ind w:firstLine="0"/>
              <w:jc w:val="left"/>
            </w:pPr>
            <w:r>
              <w:rPr>
                <w:rFonts w:ascii="Times New Roman" w:hAnsi="Times New Roman"/>
                <w:sz w:val="22"/>
              </w:rPr>
              <w:t>Termic N3 (30–45°C)</w:t>
            </w:r>
          </w:p>
        </w:tc>
        <w:tc>
          <w:tcPr>
            <w:tcW w:type="dxa" w:w="1101"/>
          </w:tcPr>
          <w:p>
            <w:pPr>
              <w:spacing w:before="0" w:after="0"/>
              <w:ind w:firstLine="0"/>
              <w:jc w:val="left"/>
            </w:pPr>
            <w:r>
              <w:rPr>
                <w:rFonts w:ascii="Times New Roman" w:hAnsi="Times New Roman"/>
                <w:sz w:val="22"/>
              </w:rPr>
              <w:t>kWh_th, kW_th</w:t>
            </w:r>
          </w:p>
        </w:tc>
        <w:tc>
          <w:tcPr>
            <w:tcW w:type="dxa" w:w="1101"/>
          </w:tcPr>
          <w:p>
            <w:pPr>
              <w:spacing w:before="0" w:after="0"/>
              <w:ind w:firstLine="0"/>
              <w:jc w:val="left"/>
            </w:pPr>
            <w:r>
              <w:rPr>
                <w:rFonts w:ascii="Times New Roman" w:hAnsi="Times New Roman"/>
                <w:sz w:val="22"/>
              </w:rPr>
              <w:t>Real-time</w:t>
            </w:r>
          </w:p>
        </w:tc>
        <w:tc>
          <w:tcPr>
            <w:tcW w:type="dxa" w:w="1101"/>
          </w:tcPr>
          <w:p>
            <w:pPr>
              <w:spacing w:before="0" w:after="0"/>
              <w:ind w:firstLine="0"/>
              <w:jc w:val="left"/>
            </w:pPr>
            <w:r>
              <w:rPr>
                <w:rFonts w:ascii="Times New Roman" w:hAnsi="Times New Roman"/>
                <w:sz w:val="22"/>
              </w:rPr>
              <w:t>15–22%</w:t>
            </w:r>
          </w:p>
        </w:tc>
        <w:tc>
          <w:tcPr>
            <w:tcW w:type="dxa" w:w="1101"/>
          </w:tcPr>
          <w:p>
            <w:pPr>
              <w:spacing w:before="0" w:after="0"/>
              <w:ind w:firstLine="0"/>
              <w:jc w:val="left"/>
            </w:pPr>
            <w:r>
              <w:rPr>
                <w:rFonts w:ascii="Times New Roman" w:hAnsi="Times New Roman"/>
                <w:sz w:val="22"/>
              </w:rPr>
              <w:t>Rezidual N2, solar direct, masă termică clădiri</w:t>
            </w:r>
          </w:p>
        </w:tc>
        <w:tc>
          <w:tcPr>
            <w:tcW w:type="dxa" w:w="1101"/>
          </w:tcPr>
          <w:p>
            <w:pPr>
              <w:spacing w:before="0" w:after="0"/>
              <w:ind w:firstLine="0"/>
              <w:jc w:val="left"/>
            </w:pPr>
            <w:r>
              <w:rPr>
                <w:rFonts w:ascii="Times New Roman" w:hAnsi="Times New Roman"/>
                <w:sz w:val="22"/>
              </w:rPr>
              <w:t>SPECIFIC EHA: recuperare reziduală agregată; utilă pentru PCM, pompe căldură low-temp, seră</w:t>
            </w:r>
          </w:p>
        </w:tc>
      </w:tr>
      <w:tr>
        <w:tc>
          <w:tcPr>
            <w:tcW w:type="dxa" w:w="1101"/>
          </w:tcPr>
          <w:p>
            <w:pPr>
              <w:spacing w:before="0" w:after="0"/>
              <w:ind w:firstLine="0"/>
              <w:jc w:val="left"/>
            </w:pPr>
            <w:r>
              <w:rPr>
                <w:rFonts w:ascii="Times New Roman" w:hAnsi="Times New Roman"/>
                <w:sz w:val="22"/>
              </w:rPr>
              <w:t>V05</w:t>
            </w:r>
          </w:p>
        </w:tc>
        <w:tc>
          <w:tcPr>
            <w:tcW w:type="dxa" w:w="1101"/>
          </w:tcPr>
          <w:p>
            <w:pPr>
              <w:spacing w:before="0" w:after="0"/>
              <w:ind w:firstLine="0"/>
              <w:jc w:val="left"/>
            </w:pPr>
            <w:r>
              <w:rPr>
                <w:rFonts w:ascii="Times New Roman" w:hAnsi="Times New Roman"/>
                <w:sz w:val="22"/>
              </w:rPr>
              <w:t>Frigorific (&lt;15°C)</w:t>
            </w:r>
          </w:p>
        </w:tc>
        <w:tc>
          <w:tcPr>
            <w:tcW w:type="dxa" w:w="1101"/>
          </w:tcPr>
          <w:p>
            <w:pPr>
              <w:spacing w:before="0" w:after="0"/>
              <w:ind w:firstLine="0"/>
              <w:jc w:val="left"/>
            </w:pPr>
            <w:r>
              <w:rPr>
                <w:rFonts w:ascii="Times New Roman" w:hAnsi="Times New Roman"/>
                <w:sz w:val="22"/>
              </w:rPr>
              <w:t>kWh_frig, kW_frig</w:t>
            </w:r>
          </w:p>
        </w:tc>
        <w:tc>
          <w:tcPr>
            <w:tcW w:type="dxa" w:w="1101"/>
          </w:tcPr>
          <w:p>
            <w:pPr>
              <w:spacing w:before="0" w:after="0"/>
              <w:ind w:firstLine="0"/>
              <w:jc w:val="left"/>
            </w:pPr>
            <w:r>
              <w:rPr>
                <w:rFonts w:ascii="Times New Roman" w:hAnsi="Times New Roman"/>
                <w:sz w:val="22"/>
              </w:rPr>
              <w:t>Real-time</w:t>
            </w:r>
          </w:p>
        </w:tc>
        <w:tc>
          <w:tcPr>
            <w:tcW w:type="dxa" w:w="1101"/>
          </w:tcPr>
          <w:p>
            <w:pPr>
              <w:spacing w:before="0" w:after="0"/>
              <w:ind w:firstLine="0"/>
              <w:jc w:val="left"/>
            </w:pPr>
            <w:r>
              <w:rPr>
                <w:rFonts w:ascii="Times New Roman" w:hAnsi="Times New Roman"/>
                <w:sz w:val="22"/>
              </w:rPr>
              <w:t>12–18%</w:t>
            </w:r>
          </w:p>
        </w:tc>
        <w:tc>
          <w:tcPr>
            <w:tcW w:type="dxa" w:w="1101"/>
          </w:tcPr>
          <w:p>
            <w:pPr>
              <w:spacing w:before="0" w:after="0"/>
              <w:ind w:firstLine="0"/>
              <w:jc w:val="left"/>
            </w:pPr>
            <w:r>
              <w:rPr>
                <w:rFonts w:ascii="Times New Roman" w:hAnsi="Times New Roman"/>
                <w:sz w:val="22"/>
              </w:rPr>
              <w:t>Absorbție din N1, compresie, free-cooling nocturn</w:t>
            </w:r>
          </w:p>
        </w:tc>
        <w:tc>
          <w:tcPr>
            <w:tcW w:type="dxa" w:w="1101"/>
          </w:tcPr>
          <w:p>
            <w:pPr>
              <w:spacing w:before="0" w:after="0"/>
              <w:ind w:firstLine="0"/>
              <w:jc w:val="left"/>
            </w:pPr>
            <w:r>
              <w:rPr>
                <w:rFonts w:ascii="Times New Roman" w:hAnsi="Times New Roman"/>
                <w:sz w:val="22"/>
              </w:rPr>
              <w:t>SPECIFIC EHA: răcire generată din căldură reziduală prin absorbție; elimină chillerele electrice convenționale</w:t>
            </w:r>
          </w:p>
        </w:tc>
      </w:tr>
      <w:tr>
        <w:tc>
          <w:tcPr>
            <w:tcW w:type="dxa" w:w="1101"/>
          </w:tcPr>
          <w:p>
            <w:pPr>
              <w:spacing w:before="0" w:after="0"/>
              <w:ind w:firstLine="0"/>
              <w:jc w:val="left"/>
            </w:pPr>
            <w:r>
              <w:rPr>
                <w:rFonts w:ascii="Times New Roman" w:hAnsi="Times New Roman"/>
                <w:sz w:val="22"/>
              </w:rPr>
              <w:t>V06</w:t>
            </w:r>
          </w:p>
        </w:tc>
        <w:tc>
          <w:tcPr>
            <w:tcW w:type="dxa" w:w="1101"/>
          </w:tcPr>
          <w:p>
            <w:pPr>
              <w:spacing w:before="0" w:after="0"/>
              <w:ind w:firstLine="0"/>
              <w:jc w:val="left"/>
            </w:pPr>
            <w:r>
              <w:rPr>
                <w:rFonts w:ascii="Times New Roman" w:hAnsi="Times New Roman"/>
                <w:sz w:val="22"/>
              </w:rPr>
              <w:t>Combustibil SRF</w:t>
            </w:r>
          </w:p>
        </w:tc>
        <w:tc>
          <w:tcPr>
            <w:tcW w:type="dxa" w:w="1101"/>
          </w:tcPr>
          <w:p>
            <w:pPr>
              <w:spacing w:before="0" w:after="0"/>
              <w:ind w:firstLine="0"/>
              <w:jc w:val="left"/>
            </w:pPr>
            <w:r>
              <w:rPr>
                <w:rFonts w:ascii="Times New Roman" w:hAnsi="Times New Roman"/>
                <w:sz w:val="22"/>
              </w:rPr>
              <w:t>Tone, MJ/kg, kWh_PCI</w:t>
            </w:r>
          </w:p>
        </w:tc>
        <w:tc>
          <w:tcPr>
            <w:tcW w:type="dxa" w:w="1101"/>
          </w:tcPr>
          <w:p>
            <w:pPr>
              <w:spacing w:before="0" w:after="0"/>
              <w:ind w:firstLine="0"/>
              <w:jc w:val="left"/>
            </w:pPr>
            <w:r>
              <w:rPr>
                <w:rFonts w:ascii="Times New Roman" w:hAnsi="Times New Roman"/>
                <w:sz w:val="22"/>
              </w:rPr>
              <w:t>Orar/zilnic</w:t>
            </w:r>
          </w:p>
        </w:tc>
        <w:tc>
          <w:tcPr>
            <w:tcW w:type="dxa" w:w="1101"/>
          </w:tcPr>
          <w:p>
            <w:pPr>
              <w:spacing w:before="0" w:after="0"/>
              <w:ind w:firstLine="0"/>
              <w:jc w:val="left"/>
            </w:pPr>
            <w:r>
              <w:rPr>
                <w:rFonts w:ascii="Times New Roman" w:hAnsi="Times New Roman"/>
                <w:sz w:val="22"/>
              </w:rPr>
              <w:t>N/A (stoc)</w:t>
            </w:r>
          </w:p>
        </w:tc>
        <w:tc>
          <w:tcPr>
            <w:tcW w:type="dxa" w:w="1101"/>
          </w:tcPr>
          <w:p>
            <w:pPr>
              <w:spacing w:before="0" w:after="0"/>
              <w:ind w:firstLine="0"/>
              <w:jc w:val="left"/>
            </w:pPr>
            <w:r>
              <w:rPr>
                <w:rFonts w:ascii="Times New Roman" w:hAnsi="Times New Roman"/>
                <w:sz w:val="22"/>
              </w:rPr>
              <w:t>ReFuel Station (EN 15359 Cl.1–3)</w:t>
            </w:r>
          </w:p>
        </w:tc>
        <w:tc>
          <w:tcPr>
            <w:tcW w:type="dxa" w:w="1101"/>
          </w:tcPr>
          <w:p>
            <w:pPr>
              <w:spacing w:before="0" w:after="0"/>
              <w:ind w:firstLine="0"/>
              <w:jc w:val="left"/>
            </w:pPr>
            <w:r>
              <w:rPr>
                <w:rFonts w:ascii="Times New Roman" w:hAnsi="Times New Roman"/>
                <w:sz w:val="22"/>
              </w:rPr>
              <w:t>SPECIFIC EHA: combustibil solid regenerabil ca vector energetic programabil; stoc gestionat ca o baterie de energie chimică</w:t>
            </w:r>
          </w:p>
        </w:tc>
      </w:tr>
      <w:tr>
        <w:tc>
          <w:tcPr>
            <w:tcW w:type="dxa" w:w="1101"/>
          </w:tcPr>
          <w:p>
            <w:pPr>
              <w:spacing w:before="0" w:after="0"/>
              <w:ind w:firstLine="0"/>
              <w:jc w:val="left"/>
            </w:pPr>
            <w:r>
              <w:rPr>
                <w:rFonts w:ascii="Times New Roman" w:hAnsi="Times New Roman"/>
                <w:sz w:val="22"/>
              </w:rPr>
              <w:t>V07</w:t>
            </w:r>
          </w:p>
        </w:tc>
        <w:tc>
          <w:tcPr>
            <w:tcW w:type="dxa" w:w="1101"/>
          </w:tcPr>
          <w:p>
            <w:pPr>
              <w:spacing w:before="0" w:after="0"/>
              <w:ind w:firstLine="0"/>
              <w:jc w:val="left"/>
            </w:pPr>
            <w:r>
              <w:rPr>
                <w:rFonts w:ascii="Times New Roman" w:hAnsi="Times New Roman"/>
                <w:sz w:val="22"/>
              </w:rPr>
              <w:t>Biomasă (peleți/tocătură)</w:t>
            </w:r>
          </w:p>
        </w:tc>
        <w:tc>
          <w:tcPr>
            <w:tcW w:type="dxa" w:w="1101"/>
          </w:tcPr>
          <w:p>
            <w:pPr>
              <w:spacing w:before="0" w:after="0"/>
              <w:ind w:firstLine="0"/>
              <w:jc w:val="left"/>
            </w:pPr>
            <w:r>
              <w:rPr>
                <w:rFonts w:ascii="Times New Roman" w:hAnsi="Times New Roman"/>
                <w:sz w:val="22"/>
              </w:rPr>
              <w:t>Tone, MJ/kg, MWh_PCI</w:t>
            </w:r>
          </w:p>
        </w:tc>
        <w:tc>
          <w:tcPr>
            <w:tcW w:type="dxa" w:w="1101"/>
          </w:tcPr>
          <w:p>
            <w:pPr>
              <w:spacing w:before="0" w:after="0"/>
              <w:ind w:firstLine="0"/>
              <w:jc w:val="left"/>
            </w:pPr>
            <w:r>
              <w:rPr>
                <w:rFonts w:ascii="Times New Roman" w:hAnsi="Times New Roman"/>
                <w:sz w:val="22"/>
              </w:rPr>
              <w:t>Orar/zilnic</w:t>
            </w:r>
          </w:p>
        </w:tc>
        <w:tc>
          <w:tcPr>
            <w:tcW w:type="dxa" w:w="1101"/>
          </w:tcPr>
          <w:p>
            <w:pPr>
              <w:spacing w:before="0" w:after="0"/>
              <w:ind w:firstLine="0"/>
              <w:jc w:val="left"/>
            </w:pPr>
            <w:r>
              <w:rPr>
                <w:rFonts w:ascii="Times New Roman" w:hAnsi="Times New Roman"/>
                <w:sz w:val="22"/>
              </w:rPr>
              <w:t>N/A (stoc)</w:t>
            </w:r>
          </w:p>
        </w:tc>
        <w:tc>
          <w:tcPr>
            <w:tcW w:type="dxa" w:w="1101"/>
          </w:tcPr>
          <w:p>
            <w:pPr>
              <w:spacing w:before="0" w:after="0"/>
              <w:ind w:firstLine="0"/>
              <w:jc w:val="left"/>
            </w:pPr>
            <w:r>
              <w:rPr>
                <w:rFonts w:ascii="Times New Roman" w:hAnsi="Times New Roman"/>
                <w:sz w:val="22"/>
              </w:rPr>
              <w:t>Păduri locale certificate FSC/PEFC</w:t>
            </w:r>
          </w:p>
        </w:tc>
        <w:tc>
          <w:tcPr>
            <w:tcW w:type="dxa" w:w="1101"/>
          </w:tcPr>
          <w:p>
            <w:pPr>
              <w:spacing w:before="0" w:after="0"/>
              <w:ind w:firstLine="0"/>
              <w:jc w:val="left"/>
            </w:pPr>
            <w:r>
              <w:rPr>
                <w:rFonts w:ascii="Times New Roman" w:hAnsi="Times New Roman"/>
                <w:sz w:val="22"/>
              </w:rPr>
              <w:t>SPECIFIC EHA: coordonare aprovizionare cu consum CHP; sezonalitate gestionată prin modele predictive de umiditate</w:t>
            </w:r>
          </w:p>
        </w:tc>
      </w:tr>
      <w:tr>
        <w:tc>
          <w:tcPr>
            <w:tcW w:type="dxa" w:w="1101"/>
          </w:tcPr>
          <w:p>
            <w:pPr>
              <w:spacing w:before="0" w:after="0"/>
              <w:ind w:firstLine="0"/>
              <w:jc w:val="left"/>
            </w:pPr>
            <w:r>
              <w:rPr>
                <w:rFonts w:ascii="Times New Roman" w:hAnsi="Times New Roman"/>
                <w:sz w:val="22"/>
              </w:rPr>
              <w:t>V08</w:t>
            </w:r>
          </w:p>
        </w:tc>
        <w:tc>
          <w:tcPr>
            <w:tcW w:type="dxa" w:w="1101"/>
          </w:tcPr>
          <w:p>
            <w:pPr>
              <w:spacing w:before="0" w:after="0"/>
              <w:ind w:firstLine="0"/>
              <w:jc w:val="left"/>
            </w:pPr>
            <w:r>
              <w:rPr>
                <w:rFonts w:ascii="Times New Roman" w:hAnsi="Times New Roman"/>
                <w:sz w:val="22"/>
              </w:rPr>
              <w:t>Hidrogen Verde (H₂)</w:t>
            </w:r>
          </w:p>
        </w:tc>
        <w:tc>
          <w:tcPr>
            <w:tcW w:type="dxa" w:w="1101"/>
          </w:tcPr>
          <w:p>
            <w:pPr>
              <w:spacing w:before="0" w:after="0"/>
              <w:ind w:firstLine="0"/>
              <w:jc w:val="left"/>
            </w:pPr>
            <w:r>
              <w:rPr>
                <w:rFonts w:ascii="Times New Roman" w:hAnsi="Times New Roman"/>
                <w:sz w:val="22"/>
              </w:rPr>
              <w:t>kg_H₂, kWh (33.3 kWh/kg)</w:t>
            </w:r>
          </w:p>
        </w:tc>
        <w:tc>
          <w:tcPr>
            <w:tcW w:type="dxa" w:w="1101"/>
          </w:tcPr>
          <w:p>
            <w:pPr>
              <w:spacing w:before="0" w:after="0"/>
              <w:ind w:firstLine="0"/>
              <w:jc w:val="left"/>
            </w:pPr>
            <w:r>
              <w:rPr>
                <w:rFonts w:ascii="Times New Roman" w:hAnsi="Times New Roman"/>
                <w:sz w:val="22"/>
              </w:rPr>
              <w:t>Ore–zile</w:t>
            </w:r>
          </w:p>
        </w:tc>
        <w:tc>
          <w:tcPr>
            <w:tcW w:type="dxa" w:w="1101"/>
          </w:tcPr>
          <w:p>
            <w:pPr>
              <w:spacing w:before="0" w:after="0"/>
              <w:ind w:firstLine="0"/>
              <w:jc w:val="left"/>
            </w:pPr>
            <w:r>
              <w:rPr>
                <w:rFonts w:ascii="Times New Roman" w:hAnsi="Times New Roman"/>
                <w:sz w:val="22"/>
              </w:rPr>
              <w:t>~65–80% dus-întors</w:t>
            </w:r>
          </w:p>
        </w:tc>
        <w:tc>
          <w:tcPr>
            <w:tcW w:type="dxa" w:w="1101"/>
          </w:tcPr>
          <w:p>
            <w:pPr>
              <w:spacing w:before="0" w:after="0"/>
              <w:ind w:firstLine="0"/>
              <w:jc w:val="left"/>
            </w:pPr>
            <w:r>
              <w:rPr>
                <w:rFonts w:ascii="Times New Roman" w:hAnsi="Times New Roman"/>
                <w:sz w:val="22"/>
              </w:rPr>
              <w:t>Electroliză PEM din surplus FV/eolian</w:t>
            </w:r>
          </w:p>
        </w:tc>
        <w:tc>
          <w:tcPr>
            <w:tcW w:type="dxa" w:w="1101"/>
          </w:tcPr>
          <w:p>
            <w:pPr>
              <w:spacing w:before="0" w:after="0"/>
              <w:ind w:firstLine="0"/>
              <w:jc w:val="left"/>
            </w:pPr>
            <w:r>
              <w:rPr>
                <w:rFonts w:ascii="Times New Roman" w:hAnsi="Times New Roman"/>
                <w:sz w:val="22"/>
              </w:rPr>
              <w:t>SPECIFIC EHA: vector de stocare sezonieră; produs când prețul electric ≤ 40 €/MWh; reconvertit în pile H₂ când preț ≥ 120 €/MWh</w:t>
            </w:r>
          </w:p>
        </w:tc>
      </w:tr>
      <w:tr>
        <w:tc>
          <w:tcPr>
            <w:tcW w:type="dxa" w:w="1101"/>
          </w:tcPr>
          <w:p>
            <w:pPr>
              <w:spacing w:before="0" w:after="0"/>
              <w:ind w:firstLine="0"/>
              <w:jc w:val="left"/>
            </w:pPr>
            <w:r>
              <w:rPr>
                <w:rFonts w:ascii="Times New Roman" w:hAnsi="Times New Roman"/>
                <w:sz w:val="22"/>
              </w:rPr>
              <w:t>V09</w:t>
            </w:r>
          </w:p>
        </w:tc>
        <w:tc>
          <w:tcPr>
            <w:tcW w:type="dxa" w:w="1101"/>
          </w:tcPr>
          <w:p>
            <w:pPr>
              <w:spacing w:before="0" w:after="0"/>
              <w:ind w:firstLine="0"/>
              <w:jc w:val="left"/>
            </w:pPr>
            <w:r>
              <w:rPr>
                <w:rFonts w:ascii="Times New Roman" w:hAnsi="Times New Roman"/>
                <w:sz w:val="22"/>
              </w:rPr>
              <w:t>Stocare Electrică</w:t>
            </w:r>
          </w:p>
        </w:tc>
        <w:tc>
          <w:tcPr>
            <w:tcW w:type="dxa" w:w="1101"/>
          </w:tcPr>
          <w:p>
            <w:pPr>
              <w:spacing w:before="0" w:after="0"/>
              <w:ind w:firstLine="0"/>
              <w:jc w:val="left"/>
            </w:pPr>
            <w:r>
              <w:rPr>
                <w:rFonts w:ascii="Times New Roman" w:hAnsi="Times New Roman"/>
                <w:sz w:val="22"/>
              </w:rPr>
              <w:t>kWh, kW, SOC (%)</w:t>
            </w:r>
          </w:p>
        </w:tc>
        <w:tc>
          <w:tcPr>
            <w:tcW w:type="dxa" w:w="1101"/>
          </w:tcPr>
          <w:p>
            <w:pPr>
              <w:spacing w:before="0" w:after="0"/>
              <w:ind w:firstLine="0"/>
              <w:jc w:val="left"/>
            </w:pPr>
            <w:r>
              <w:rPr>
                <w:rFonts w:ascii="Times New Roman" w:hAnsi="Times New Roman"/>
                <w:sz w:val="22"/>
              </w:rPr>
              <w:t>Continuu</w:t>
            </w:r>
          </w:p>
        </w:tc>
        <w:tc>
          <w:tcPr>
            <w:tcW w:type="dxa" w:w="1101"/>
          </w:tcPr>
          <w:p>
            <w:pPr>
              <w:spacing w:before="0" w:after="0"/>
              <w:ind w:firstLine="0"/>
              <w:jc w:val="left"/>
            </w:pPr>
            <w:r>
              <w:rPr>
                <w:rFonts w:ascii="Times New Roman" w:hAnsi="Times New Roman"/>
                <w:sz w:val="22"/>
              </w:rPr>
              <w:t>92–97% per ciclu</w:t>
            </w:r>
          </w:p>
        </w:tc>
        <w:tc>
          <w:tcPr>
            <w:tcW w:type="dxa" w:w="1101"/>
          </w:tcPr>
          <w:p>
            <w:pPr>
              <w:spacing w:before="0" w:after="0"/>
              <w:ind w:firstLine="0"/>
              <w:jc w:val="left"/>
            </w:pPr>
            <w:r>
              <w:rPr>
                <w:rFonts w:ascii="Times New Roman" w:hAnsi="Times New Roman"/>
                <w:sz w:val="22"/>
              </w:rPr>
              <w:t>Baterii LFP/NMC (Li-ion), flux vanadiu</w:t>
            </w:r>
          </w:p>
        </w:tc>
        <w:tc>
          <w:tcPr>
            <w:tcW w:type="dxa" w:w="1101"/>
          </w:tcPr>
          <w:p>
            <w:pPr>
              <w:spacing w:before="0" w:after="0"/>
              <w:ind w:firstLine="0"/>
              <w:jc w:val="left"/>
            </w:pPr>
            <w:r>
              <w:rPr>
                <w:rFonts w:ascii="Times New Roman" w:hAnsi="Times New Roman"/>
                <w:sz w:val="22"/>
              </w:rPr>
              <w:t>Extins vs. clasic: include V2G ca capacitate agregabilă dinamică; SOC agregat la nivel comunitar (nu per baterie)</w:t>
            </w:r>
          </w:p>
        </w:tc>
      </w:tr>
      <w:tr>
        <w:tc>
          <w:tcPr>
            <w:tcW w:type="dxa" w:w="1101"/>
          </w:tcPr>
          <w:p>
            <w:pPr>
              <w:spacing w:before="0" w:after="0"/>
              <w:ind w:firstLine="0"/>
              <w:jc w:val="left"/>
            </w:pPr>
            <w:r>
              <w:rPr>
                <w:rFonts w:ascii="Times New Roman" w:hAnsi="Times New Roman"/>
                <w:sz w:val="22"/>
              </w:rPr>
              <w:t>V10</w:t>
            </w:r>
          </w:p>
        </w:tc>
        <w:tc>
          <w:tcPr>
            <w:tcW w:type="dxa" w:w="1101"/>
          </w:tcPr>
          <w:p>
            <w:pPr>
              <w:spacing w:before="0" w:after="0"/>
              <w:ind w:firstLine="0"/>
              <w:jc w:val="left"/>
            </w:pPr>
            <w:r>
              <w:rPr>
                <w:rFonts w:ascii="Times New Roman" w:hAnsi="Times New Roman"/>
                <w:sz w:val="22"/>
              </w:rPr>
              <w:t>Stocare Termică Stratificată</w:t>
            </w:r>
          </w:p>
        </w:tc>
        <w:tc>
          <w:tcPr>
            <w:tcW w:type="dxa" w:w="1101"/>
          </w:tcPr>
          <w:p>
            <w:pPr>
              <w:spacing w:before="0" w:after="0"/>
              <w:ind w:firstLine="0"/>
              <w:jc w:val="left"/>
            </w:pPr>
            <w:r>
              <w:rPr>
                <w:rFonts w:ascii="Times New Roman" w:hAnsi="Times New Roman"/>
                <w:sz w:val="22"/>
              </w:rPr>
              <w:t>kWh_th, SOC_th, T (°C) per nivel</w:t>
            </w:r>
          </w:p>
        </w:tc>
        <w:tc>
          <w:tcPr>
            <w:tcW w:type="dxa" w:w="1101"/>
          </w:tcPr>
          <w:p>
            <w:pPr>
              <w:spacing w:before="0" w:after="0"/>
              <w:ind w:firstLine="0"/>
              <w:jc w:val="left"/>
            </w:pPr>
            <w:r>
              <w:rPr>
                <w:rFonts w:ascii="Times New Roman" w:hAnsi="Times New Roman"/>
                <w:sz w:val="22"/>
              </w:rPr>
              <w:t>Continuu</w:t>
            </w:r>
          </w:p>
        </w:tc>
        <w:tc>
          <w:tcPr>
            <w:tcW w:type="dxa" w:w="1101"/>
          </w:tcPr>
          <w:p>
            <w:pPr>
              <w:spacing w:before="0" w:after="0"/>
              <w:ind w:firstLine="0"/>
              <w:jc w:val="left"/>
            </w:pPr>
            <w:r>
              <w:rPr>
                <w:rFonts w:ascii="Times New Roman" w:hAnsi="Times New Roman"/>
                <w:sz w:val="22"/>
              </w:rPr>
              <w:t>85–95% stocare pasivă</w:t>
            </w:r>
          </w:p>
        </w:tc>
        <w:tc>
          <w:tcPr>
            <w:tcW w:type="dxa" w:w="1101"/>
          </w:tcPr>
          <w:p>
            <w:pPr>
              <w:spacing w:before="0" w:after="0"/>
              <w:ind w:firstLine="0"/>
              <w:jc w:val="left"/>
            </w:pPr>
            <w:r>
              <w:rPr>
                <w:rFonts w:ascii="Times New Roman" w:hAnsi="Times New Roman"/>
                <w:sz w:val="22"/>
              </w:rPr>
              <w:t>Tankuri lichid (N1/N2), PCM (N2/N3), masă termică clădiri (N3)</w:t>
            </w:r>
          </w:p>
        </w:tc>
        <w:tc>
          <w:tcPr>
            <w:tcW w:type="dxa" w:w="1101"/>
          </w:tcPr>
          <w:p>
            <w:pPr>
              <w:spacing w:before="0" w:after="0"/>
              <w:ind w:firstLine="0"/>
              <w:jc w:val="left"/>
            </w:pPr>
            <w:r>
              <w:rPr>
                <w:rFonts w:ascii="Times New Roman" w:hAnsi="Times New Roman"/>
                <w:sz w:val="22"/>
              </w:rPr>
              <w:t>SPECIFIC EHA: stocare diferențiată pe 3 niveluri de temperatură; arbitraj temporal termic (stocare zi → consum noapte)</w:t>
            </w:r>
          </w:p>
        </w:tc>
      </w:tr>
      <w:tr>
        <w:tc>
          <w:tcPr>
            <w:tcW w:type="dxa" w:w="1101"/>
          </w:tcPr>
          <w:p>
            <w:pPr>
              <w:spacing w:before="0" w:after="0"/>
              <w:ind w:firstLine="0"/>
              <w:jc w:val="left"/>
            </w:pPr>
            <w:r>
              <w:rPr>
                <w:rFonts w:ascii="Times New Roman" w:hAnsi="Times New Roman"/>
                <w:sz w:val="22"/>
              </w:rPr>
              <w:t>V11</w:t>
            </w:r>
          </w:p>
        </w:tc>
        <w:tc>
          <w:tcPr>
            <w:tcW w:type="dxa" w:w="1101"/>
          </w:tcPr>
          <w:p>
            <w:pPr>
              <w:spacing w:before="0" w:after="0"/>
              <w:ind w:firstLine="0"/>
              <w:jc w:val="left"/>
            </w:pPr>
            <w:r>
              <w:rPr>
                <w:rFonts w:ascii="Times New Roman" w:hAnsi="Times New Roman"/>
                <w:sz w:val="22"/>
              </w:rPr>
              <w:t>Flexibilitate Agregată</w:t>
            </w:r>
          </w:p>
        </w:tc>
        <w:tc>
          <w:tcPr>
            <w:tcW w:type="dxa" w:w="1101"/>
          </w:tcPr>
          <w:p>
            <w:pPr>
              <w:spacing w:before="0" w:after="0"/>
              <w:ind w:firstLine="0"/>
              <w:jc w:val="left"/>
            </w:pPr>
            <w:r>
              <w:rPr>
                <w:rFonts w:ascii="Times New Roman" w:hAnsi="Times New Roman"/>
                <w:sz w:val="22"/>
              </w:rPr>
              <w:t>kW_flex, MWh_flex, ore durata</w:t>
            </w:r>
          </w:p>
        </w:tc>
        <w:tc>
          <w:tcPr>
            <w:tcW w:type="dxa" w:w="1101"/>
          </w:tcPr>
          <w:p>
            <w:pPr>
              <w:spacing w:before="0" w:after="0"/>
              <w:ind w:firstLine="0"/>
              <w:jc w:val="left"/>
            </w:pPr>
            <w:r>
              <w:rPr>
                <w:rFonts w:ascii="Times New Roman" w:hAnsi="Times New Roman"/>
                <w:sz w:val="22"/>
              </w:rPr>
              <w:t>Ore–zile</w:t>
            </w:r>
          </w:p>
        </w:tc>
        <w:tc>
          <w:tcPr>
            <w:tcW w:type="dxa" w:w="1101"/>
          </w:tcPr>
          <w:p>
            <w:pPr>
              <w:spacing w:before="0" w:after="0"/>
              <w:ind w:firstLine="0"/>
              <w:jc w:val="left"/>
            </w:pPr>
            <w:r>
              <w:rPr>
                <w:rFonts w:ascii="Times New Roman" w:hAnsi="Times New Roman"/>
                <w:sz w:val="22"/>
              </w:rPr>
              <w:t>N/A (capacitate)</w:t>
            </w:r>
          </w:p>
        </w:tc>
        <w:tc>
          <w:tcPr>
            <w:tcW w:type="dxa" w:w="1101"/>
          </w:tcPr>
          <w:p>
            <w:pPr>
              <w:spacing w:before="0" w:after="0"/>
              <w:ind w:firstLine="0"/>
              <w:jc w:val="left"/>
            </w:pPr>
            <w:r>
              <w:rPr>
                <w:rFonts w:ascii="Times New Roman" w:hAnsi="Times New Roman"/>
                <w:sz w:val="22"/>
              </w:rPr>
              <w:t>DR clădiri, V2G, SynTech dispatchable, stocare PC</w:t>
            </w:r>
          </w:p>
        </w:tc>
        <w:tc>
          <w:tcPr>
            <w:tcW w:type="dxa" w:w="1101"/>
          </w:tcPr>
          <w:p>
            <w:pPr>
              <w:spacing w:before="0" w:after="0"/>
              <w:ind w:firstLine="0"/>
              <w:jc w:val="left"/>
            </w:pPr>
            <w:r>
              <w:rPr>
                <w:rFonts w:ascii="Times New Roman" w:hAnsi="Times New Roman"/>
                <w:sz w:val="22"/>
              </w:rPr>
              <w:t>SPECIFIC EHA: flexibilitate multi-vector (nu doar electrică); ofertă consolidată pe piața de echilibrare ANRE/ENTSO-E</w:t>
            </w:r>
          </w:p>
        </w:tc>
      </w:tr>
      <w:tr>
        <w:tc>
          <w:tcPr>
            <w:tcW w:type="dxa" w:w="1101"/>
          </w:tcPr>
          <w:p>
            <w:pPr>
              <w:spacing w:before="0" w:after="0"/>
              <w:ind w:firstLine="0"/>
              <w:jc w:val="left"/>
            </w:pPr>
            <w:r>
              <w:rPr>
                <w:rFonts w:ascii="Times New Roman" w:hAnsi="Times New Roman"/>
                <w:sz w:val="22"/>
              </w:rPr>
              <w:t>V12</w:t>
            </w:r>
          </w:p>
        </w:tc>
        <w:tc>
          <w:tcPr>
            <w:tcW w:type="dxa" w:w="1101"/>
          </w:tcPr>
          <w:p>
            <w:pPr>
              <w:spacing w:before="0" w:after="0"/>
              <w:ind w:firstLine="0"/>
              <w:jc w:val="left"/>
            </w:pPr>
            <w:r>
              <w:rPr>
                <w:rFonts w:ascii="Times New Roman" w:hAnsi="Times New Roman"/>
                <w:sz w:val="22"/>
              </w:rPr>
              <w:t>Carbon (CO₂e)</w:t>
            </w:r>
          </w:p>
        </w:tc>
        <w:tc>
          <w:tcPr>
            <w:tcW w:type="dxa" w:w="1101"/>
          </w:tcPr>
          <w:p>
            <w:pPr>
              <w:spacing w:before="0" w:after="0"/>
              <w:ind w:firstLine="0"/>
              <w:jc w:val="left"/>
            </w:pPr>
            <w:r>
              <w:rPr>
                <w:rFonts w:ascii="Times New Roman" w:hAnsi="Times New Roman"/>
                <w:sz w:val="22"/>
              </w:rPr>
              <w:t>tCO₂e, EUR_ETS, credite carbon</w:t>
            </w:r>
          </w:p>
        </w:tc>
        <w:tc>
          <w:tcPr>
            <w:tcW w:type="dxa" w:w="1101"/>
          </w:tcPr>
          <w:p>
            <w:pPr>
              <w:spacing w:before="0" w:after="0"/>
              <w:ind w:firstLine="0"/>
              <w:jc w:val="left"/>
            </w:pPr>
            <w:r>
              <w:rPr>
                <w:rFonts w:ascii="Times New Roman" w:hAnsi="Times New Roman"/>
                <w:sz w:val="22"/>
              </w:rPr>
              <w:t>Zilnic/lunar</w:t>
            </w:r>
          </w:p>
        </w:tc>
        <w:tc>
          <w:tcPr>
            <w:tcW w:type="dxa" w:w="1101"/>
          </w:tcPr>
          <w:p>
            <w:pPr>
              <w:spacing w:before="0" w:after="0"/>
              <w:ind w:firstLine="0"/>
              <w:jc w:val="left"/>
            </w:pPr>
            <w:r>
              <w:rPr>
                <w:rFonts w:ascii="Times New Roman" w:hAnsi="Times New Roman"/>
                <w:sz w:val="22"/>
              </w:rPr>
              <w:t>N/A (flux)</w:t>
            </w:r>
          </w:p>
        </w:tc>
        <w:tc>
          <w:tcPr>
            <w:tcW w:type="dxa" w:w="1101"/>
          </w:tcPr>
          <w:p>
            <w:pPr>
              <w:spacing w:before="0" w:after="0"/>
              <w:ind w:firstLine="0"/>
              <w:jc w:val="left"/>
            </w:pPr>
            <w:r>
              <w:rPr>
                <w:rFonts w:ascii="Times New Roman" w:hAnsi="Times New Roman"/>
                <w:sz w:val="22"/>
              </w:rPr>
              <w:t>EU-ETS, CRCF, piața voluntară BCR</w:t>
            </w:r>
          </w:p>
        </w:tc>
        <w:tc>
          <w:tcPr>
            <w:tcW w:type="dxa" w:w="1101"/>
          </w:tcPr>
          <w:p>
            <w:pPr>
              <w:spacing w:before="0" w:after="0"/>
              <w:ind w:firstLine="0"/>
              <w:jc w:val="left"/>
            </w:pPr>
            <w:r>
              <w:rPr>
                <w:rFonts w:ascii="Times New Roman" w:hAnsi="Times New Roman"/>
                <w:sz w:val="22"/>
              </w:rPr>
              <w:t>SPECIFIC EHA: carbon ca vector optimizabil; maximizare sechestrare biochar; arbitraj EU-ETS; raportare MRV automată</w:t>
            </w:r>
          </w:p>
        </w:tc>
      </w:tr>
      <w:tr>
        <w:tc>
          <w:tcPr>
            <w:tcW w:type="dxa" w:w="1101"/>
          </w:tcPr>
          <w:p>
            <w:pPr>
              <w:spacing w:before="0" w:after="0"/>
              <w:ind w:firstLine="0"/>
              <w:jc w:val="left"/>
            </w:pPr>
            <w:r>
              <w:rPr>
                <w:rFonts w:ascii="Times New Roman" w:hAnsi="Times New Roman"/>
                <w:sz w:val="22"/>
              </w:rPr>
              <w:t>V13</w:t>
            </w:r>
          </w:p>
        </w:tc>
        <w:tc>
          <w:tcPr>
            <w:tcW w:type="dxa" w:w="1101"/>
          </w:tcPr>
          <w:p>
            <w:pPr>
              <w:spacing w:before="0" w:after="0"/>
              <w:ind w:firstLine="0"/>
              <w:jc w:val="left"/>
            </w:pPr>
            <w:r>
              <w:rPr>
                <w:rFonts w:ascii="Times New Roman" w:hAnsi="Times New Roman"/>
                <w:sz w:val="22"/>
              </w:rPr>
              <w:t>Financiar + Tokenizare</w:t>
            </w:r>
          </w:p>
        </w:tc>
        <w:tc>
          <w:tcPr>
            <w:tcW w:type="dxa" w:w="1101"/>
          </w:tcPr>
          <w:p>
            <w:pPr>
              <w:spacing w:before="0" w:after="0"/>
              <w:ind w:firstLine="0"/>
              <w:jc w:val="left"/>
            </w:pPr>
            <w:r>
              <w:rPr>
                <w:rFonts w:ascii="Times New Roman" w:hAnsi="Times New Roman"/>
                <w:sz w:val="22"/>
              </w:rPr>
              <w:t>EUR, tokeni (6 tipuri)</w:t>
            </w:r>
          </w:p>
        </w:tc>
        <w:tc>
          <w:tcPr>
            <w:tcW w:type="dxa" w:w="1101"/>
          </w:tcPr>
          <w:p>
            <w:pPr>
              <w:spacing w:before="0" w:after="0"/>
              <w:ind w:firstLine="0"/>
              <w:jc w:val="left"/>
            </w:pPr>
            <w:r>
              <w:rPr>
                <w:rFonts w:ascii="Times New Roman" w:hAnsi="Times New Roman"/>
                <w:sz w:val="22"/>
              </w:rPr>
              <w:t>Continuu</w:t>
            </w:r>
          </w:p>
        </w:tc>
        <w:tc>
          <w:tcPr>
            <w:tcW w:type="dxa" w:w="1101"/>
          </w:tcPr>
          <w:p>
            <w:pPr>
              <w:spacing w:before="0" w:after="0"/>
              <w:ind w:firstLine="0"/>
              <w:jc w:val="left"/>
            </w:pPr>
            <w:r>
              <w:rPr>
                <w:rFonts w:ascii="Times New Roman" w:hAnsi="Times New Roman"/>
                <w:sz w:val="22"/>
              </w:rPr>
              <w:t>N/A (flux)</w:t>
            </w:r>
          </w:p>
        </w:tc>
        <w:tc>
          <w:tcPr>
            <w:tcW w:type="dxa" w:w="1101"/>
          </w:tcPr>
          <w:p>
            <w:pPr>
              <w:spacing w:before="0" w:after="0"/>
              <w:ind w:firstLine="0"/>
              <w:jc w:val="left"/>
            </w:pPr>
            <w:r>
              <w:rPr>
                <w:rFonts w:ascii="Times New Roman" w:hAnsi="Times New Roman"/>
                <w:sz w:val="22"/>
              </w:rPr>
              <w:t>OPCOM, certificate verzi, tokeni S2E/SRF/Carbon</w:t>
            </w:r>
          </w:p>
        </w:tc>
        <w:tc>
          <w:tcPr>
            <w:tcW w:type="dxa" w:w="1101"/>
          </w:tcPr>
          <w:p>
            <w:pPr>
              <w:spacing w:before="0" w:after="0"/>
              <w:ind w:firstLine="0"/>
              <w:jc w:val="left"/>
            </w:pPr>
            <w:r>
              <w:rPr>
                <w:rFonts w:ascii="Times New Roman" w:hAnsi="Times New Roman"/>
                <w:sz w:val="22"/>
              </w:rPr>
              <w:t>SPECIFIC EHA: optimizare simultană venituri din ≥6 surse (OPCOM + DR + CV + ETS + tokeni + Nexus); stacking financiar integrat</w:t>
            </w:r>
          </w:p>
        </w:tc>
      </w:tr>
    </w:tbl>
    <w:p>
      <w:pPr>
        <w:ind w:firstLine="0"/>
      </w:pPr>
    </w:p>
    <w:p>
      <w:pPr>
        <w:pStyle w:val="TableCaption"/>
      </w:pPr>
      <w:r>
        <w:t>Tabel 7. Inventarul complet al vectorilor agregați de EHA. η_ex = conținut exergetic raportat la conținutul energetic (factor Carnot generalizat); N/A pentru vectori de stoc (SRF, biomasă) unde exergia este chimică, nu termică. Sursă: elaborare proprie pe baza Model Spec EHA V1 + DigitAll V4, EnEx Institute 2025–2026.</w:t>
      </w:r>
    </w:p>
    <w:p>
      <w:pPr>
        <w:ind w:firstLine="0"/>
      </w:pPr>
    </w:p>
    <w:p>
      <w:pPr>
        <w:pStyle w:val="ChapterHeading"/>
        <w:keepNext/>
      </w:pPr>
      <w:r>
        <w:t>3. Arhitectura Eha — Cele 5 Dimensiuni Simultane</w:t>
      </w:r>
    </w:p>
    <w:p>
      <w:pPr>
        <w:ind w:firstLine="0"/>
      </w:pPr>
    </w:p>
    <w:p>
      <w:pPr>
        <w:pStyle w:val="SubHeading"/>
        <w:keepNext/>
      </w:pPr>
      <w:r>
        <w:t>3.1 Cadrul conceptual pentadimensional</w:t>
      </w:r>
    </w:p>
    <w:p>
      <w:pPr>
        <w:ind w:firstLine="0"/>
      </w:pPr>
    </w:p>
    <w:p>
      <w:pPr/>
      <w:r>
        <w:t>Arhitectura Exergy Holistic Aggregator se organizează pe cinci dimensiuni de agregare simultane — spre deosebire de agregatoarele convenționale care operează pe cel mult două dimensiuni (vector electric + criteriu economic). Tabelul 2 prezintă cele cinci dimensiuni cu conținutul EHA și comparația față de nivelul clasic:</w:t>
      </w:r>
    </w:p>
    <w:p>
      <w:pPr/>
      <w:r>
        <w:t>Dimensiunile și avantajele diferențiale ale abordării EHA sunt ilustrate în Tabelul 8.</w:t>
      </w:r>
    </w:p>
    <w:p>
      <w:pPr>
        <w:ind w:firstLine="0"/>
      </w:pPr>
    </w:p>
    <w:p>
      <w:pPr>
        <w:pStyle w:val="TableCaption"/>
      </w:pPr>
      <w:r>
        <w:t>Tabel 8. Dimensiunile și avantajele diferențiale ale abordării EHA</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w:t>
            </w:r>
          </w:p>
        </w:tc>
        <w:tc>
          <w:tcPr>
            <w:tcW w:type="dxa" w:w="1542"/>
          </w:tcPr>
          <w:p>
            <w:pPr>
              <w:spacing w:before="0" w:after="0"/>
              <w:ind w:firstLine="0"/>
              <w:jc w:val="left"/>
            </w:pPr>
            <w:r>
              <w:rPr>
                <w:rFonts w:ascii="Times New Roman" w:hAnsi="Times New Roman"/>
                <w:b/>
                <w:sz w:val="22"/>
              </w:rPr>
              <w:t>Dimensiune</w:t>
            </w:r>
          </w:p>
        </w:tc>
        <w:tc>
          <w:tcPr>
            <w:tcW w:type="dxa" w:w="1542"/>
          </w:tcPr>
          <w:p>
            <w:pPr>
              <w:spacing w:before="0" w:after="0"/>
              <w:ind w:firstLine="0"/>
              <w:jc w:val="left"/>
            </w:pPr>
            <w:r>
              <w:rPr>
                <w:rFonts w:ascii="Times New Roman" w:hAnsi="Times New Roman"/>
                <w:b/>
                <w:sz w:val="22"/>
              </w:rPr>
              <w:t>Conținut EHA</w:t>
            </w:r>
          </w:p>
        </w:tc>
        <w:tc>
          <w:tcPr>
            <w:tcW w:type="dxa" w:w="1542"/>
          </w:tcPr>
          <w:p>
            <w:pPr>
              <w:spacing w:before="0" w:after="0"/>
              <w:ind w:firstLine="0"/>
              <w:jc w:val="left"/>
            </w:pPr>
            <w:r>
              <w:rPr>
                <w:rFonts w:ascii="Times New Roman" w:hAnsi="Times New Roman"/>
                <w:b/>
                <w:sz w:val="22"/>
              </w:rPr>
              <w:t>Nivel Clasic</w:t>
            </w:r>
          </w:p>
        </w:tc>
        <w:tc>
          <w:tcPr>
            <w:tcW w:type="dxa" w:w="1542"/>
          </w:tcPr>
          <w:p>
            <w:pPr>
              <w:spacing w:before="0" w:after="0"/>
              <w:ind w:firstLine="0"/>
              <w:jc w:val="left"/>
            </w:pPr>
            <w:r>
              <w:rPr>
                <w:rFonts w:ascii="Times New Roman" w:hAnsi="Times New Roman"/>
                <w:b/>
                <w:sz w:val="22"/>
              </w:rPr>
              <w:t>Avantaj diferențial</w:t>
            </w:r>
          </w:p>
        </w:tc>
      </w:tr>
      <w:tr>
        <w:tc>
          <w:tcPr>
            <w:tcW w:type="dxa" w:w="1542"/>
          </w:tcPr>
          <w:p>
            <w:pPr>
              <w:spacing w:before="0" w:after="0"/>
              <w:ind w:firstLine="0"/>
              <w:jc w:val="left"/>
            </w:pPr>
            <w:r>
              <w:rPr>
                <w:rFonts w:ascii="Times New Roman" w:hAnsi="Times New Roman"/>
                <w:sz w:val="22"/>
              </w:rPr>
              <w:t>D1</w:t>
            </w:r>
          </w:p>
        </w:tc>
        <w:tc>
          <w:tcPr>
            <w:tcW w:type="dxa" w:w="1542"/>
          </w:tcPr>
          <w:p>
            <w:pPr>
              <w:spacing w:before="0" w:after="0"/>
              <w:ind w:firstLine="0"/>
              <w:jc w:val="left"/>
            </w:pPr>
            <w:r>
              <w:rPr>
                <w:rFonts w:ascii="Times New Roman" w:hAnsi="Times New Roman"/>
                <w:sz w:val="22"/>
              </w:rPr>
              <w:t>Multi-Vector Energetic</w:t>
            </w:r>
          </w:p>
        </w:tc>
        <w:tc>
          <w:tcPr>
            <w:tcW w:type="dxa" w:w="1542"/>
          </w:tcPr>
          <w:p>
            <w:pPr>
              <w:spacing w:before="0" w:after="0"/>
              <w:ind w:firstLine="0"/>
              <w:jc w:val="left"/>
            </w:pPr>
            <w:r>
              <w:rPr>
                <w:rFonts w:ascii="Times New Roman" w:hAnsi="Times New Roman"/>
                <w:sz w:val="22"/>
              </w:rPr>
              <w:t>13 vectori simultani: electric, termic 3 niveluri, frigorific, SRF, biomasă, H₂, stocare electrică, stocare termică stratificată, flexibilitate, carbon, financiar, tokenizare</w:t>
            </w:r>
          </w:p>
        </w:tc>
        <w:tc>
          <w:tcPr>
            <w:tcW w:type="dxa" w:w="1542"/>
          </w:tcPr>
          <w:p>
            <w:pPr>
              <w:spacing w:before="0" w:after="0"/>
              <w:ind w:firstLine="0"/>
              <w:jc w:val="left"/>
            </w:pPr>
            <w:r>
              <w:rPr>
                <w:rFonts w:ascii="Times New Roman" w:hAnsi="Times New Roman"/>
                <w:sz w:val="22"/>
              </w:rPr>
              <w:t>1 vector (electricitate)</w:t>
            </w:r>
          </w:p>
        </w:tc>
        <w:tc>
          <w:tcPr>
            <w:tcW w:type="dxa" w:w="1542"/>
          </w:tcPr>
          <w:p>
            <w:pPr>
              <w:spacing w:before="0" w:after="0"/>
              <w:ind w:firstLine="0"/>
              <w:jc w:val="left"/>
            </w:pPr>
            <w:r>
              <w:rPr>
                <w:rFonts w:ascii="Times New Roman" w:hAnsi="Times New Roman"/>
                <w:sz w:val="22"/>
              </w:rPr>
              <w:t>Captarea a 60–70% din consumul energetic comunitar care este termic, ignorat de agregatorii clasici; optimizarea interfețelor inter-vectoriale (ex: căldură → frig absorbție) care creează valoare nouă inexistentă în abordarea mono-vector</w:t>
            </w:r>
          </w:p>
        </w:tc>
      </w:tr>
      <w:tr>
        <w:tc>
          <w:tcPr>
            <w:tcW w:type="dxa" w:w="1542"/>
          </w:tcPr>
          <w:p>
            <w:pPr>
              <w:spacing w:before="0" w:after="0"/>
              <w:ind w:firstLine="0"/>
              <w:jc w:val="left"/>
            </w:pPr>
            <w:r>
              <w:rPr>
                <w:rFonts w:ascii="Times New Roman" w:hAnsi="Times New Roman"/>
                <w:sz w:val="22"/>
              </w:rPr>
              <w:t>D2</w:t>
            </w:r>
          </w:p>
        </w:tc>
        <w:tc>
          <w:tcPr>
            <w:tcW w:type="dxa" w:w="1542"/>
          </w:tcPr>
          <w:p>
            <w:pPr>
              <w:spacing w:before="0" w:after="0"/>
              <w:ind w:firstLine="0"/>
              <w:jc w:val="left"/>
            </w:pPr>
            <w:r>
              <w:rPr>
                <w:rFonts w:ascii="Times New Roman" w:hAnsi="Times New Roman"/>
                <w:sz w:val="22"/>
              </w:rPr>
              <w:t>Multi-Scară Ierarhică</w:t>
            </w:r>
          </w:p>
        </w:tc>
        <w:tc>
          <w:tcPr>
            <w:tcW w:type="dxa" w:w="1542"/>
          </w:tcPr>
          <w:p>
            <w:pPr>
              <w:spacing w:before="0" w:after="0"/>
              <w:ind w:firstLine="0"/>
              <w:jc w:val="left"/>
            </w:pPr>
            <w:r>
              <w:rPr>
                <w:rFonts w:ascii="Times New Roman" w:hAnsi="Times New Roman"/>
                <w:sz w:val="22"/>
              </w:rPr>
              <w:t>Recursiv N0 (Modul) → N1 (Box) → N2 (HUB) → N3 (Micro-Grid) → N4 (Grid) → N5 (Comunitate) → N6 (Network)</w:t>
            </w:r>
          </w:p>
        </w:tc>
        <w:tc>
          <w:tcPr>
            <w:tcW w:type="dxa" w:w="1542"/>
          </w:tcPr>
          <w:p>
            <w:pPr>
              <w:spacing w:before="0" w:after="0"/>
              <w:ind w:firstLine="0"/>
              <w:jc w:val="left"/>
            </w:pPr>
            <w:r>
              <w:rPr>
                <w:rFonts w:ascii="Times New Roman" w:hAnsi="Times New Roman"/>
                <w:sz w:val="22"/>
              </w:rPr>
              <w:t>Singulară (prosumator sau portofoliu plat)</w:t>
            </w:r>
          </w:p>
        </w:tc>
        <w:tc>
          <w:tcPr>
            <w:tcW w:type="dxa" w:w="1542"/>
          </w:tcPr>
          <w:p>
            <w:pPr>
              <w:spacing w:before="0" w:after="0"/>
              <w:ind w:firstLine="0"/>
              <w:jc w:val="left"/>
            </w:pPr>
            <w:r>
              <w:rPr>
                <w:rFonts w:ascii="Times New Roman" w:hAnsi="Times New Roman"/>
                <w:sz w:val="22"/>
              </w:rPr>
              <w:t>Optimizare locală (Box, HUB) fără pierderea coerenței globale (Community, Network); proprietăți emergente la fiecare nivel; reziliență island mode N3 independent de N4+</w:t>
            </w:r>
          </w:p>
        </w:tc>
      </w:tr>
      <w:tr>
        <w:tc>
          <w:tcPr>
            <w:tcW w:type="dxa" w:w="1542"/>
          </w:tcPr>
          <w:p>
            <w:pPr>
              <w:spacing w:before="0" w:after="0"/>
              <w:ind w:firstLine="0"/>
              <w:jc w:val="left"/>
            </w:pPr>
            <w:r>
              <w:rPr>
                <w:rFonts w:ascii="Times New Roman" w:hAnsi="Times New Roman"/>
                <w:sz w:val="22"/>
              </w:rPr>
              <w:t>D3</w:t>
            </w:r>
          </w:p>
        </w:tc>
        <w:tc>
          <w:tcPr>
            <w:tcW w:type="dxa" w:w="1542"/>
          </w:tcPr>
          <w:p>
            <w:pPr>
              <w:spacing w:before="0" w:after="0"/>
              <w:ind w:firstLine="0"/>
              <w:jc w:val="left"/>
            </w:pPr>
            <w:r>
              <w:rPr>
                <w:rFonts w:ascii="Times New Roman" w:hAnsi="Times New Roman"/>
                <w:sz w:val="22"/>
              </w:rPr>
              <w:t>Multi-Dimensiune</w:t>
            </w:r>
          </w:p>
        </w:tc>
        <w:tc>
          <w:tcPr>
            <w:tcW w:type="dxa" w:w="1542"/>
          </w:tcPr>
          <w:p>
            <w:pPr>
              <w:spacing w:before="0" w:after="0"/>
              <w:ind w:firstLine="0"/>
              <w:jc w:val="left"/>
            </w:pPr>
            <w:r>
              <w:rPr>
                <w:rFonts w:ascii="Times New Roman" w:hAnsi="Times New Roman"/>
                <w:sz w:val="22"/>
              </w:rPr>
              <w:t>Tehnic (η, disponibilitate) + Economic (cost, venituri) + Contractual (PPA, ESCO, smart contracts) + Social (solidaritate, participare) + Ecologic (carbon, biodiversitate, circularitate)</w:t>
            </w:r>
          </w:p>
        </w:tc>
        <w:tc>
          <w:tcPr>
            <w:tcW w:type="dxa" w:w="1542"/>
          </w:tcPr>
          <w:p>
            <w:pPr>
              <w:spacing w:before="0" w:after="0"/>
              <w:ind w:firstLine="0"/>
              <w:jc w:val="left"/>
            </w:pPr>
            <w:r>
              <w:rPr>
                <w:rFonts w:ascii="Times New Roman" w:hAnsi="Times New Roman"/>
                <w:sz w:val="22"/>
              </w:rPr>
              <w:t>1–2 dimensiuni (preț, volum)</w:t>
            </w:r>
          </w:p>
        </w:tc>
        <w:tc>
          <w:tcPr>
            <w:tcW w:type="dxa" w:w="1542"/>
          </w:tcPr>
          <w:p>
            <w:pPr>
              <w:spacing w:before="0" w:after="0"/>
              <w:ind w:firstLine="0"/>
              <w:jc w:val="left"/>
            </w:pPr>
            <w:r>
              <w:rPr>
                <w:rFonts w:ascii="Times New Roman" w:hAnsi="Times New Roman"/>
                <w:sz w:val="22"/>
              </w:rPr>
              <w:t>Funcție obiectiv pentadimensională: F_EHA = w₁·max(η_ex) + w₂·min(Cost) + w₃·max(Autonomie) + w₄·min(Carbon) + w₅·max(Social); optimizare Pareto cu frontieră non-dominată; constrângeri sociale ca hard constraints</w:t>
            </w:r>
          </w:p>
        </w:tc>
      </w:tr>
      <w:tr>
        <w:tc>
          <w:tcPr>
            <w:tcW w:type="dxa" w:w="1542"/>
          </w:tcPr>
          <w:p>
            <w:pPr>
              <w:spacing w:before="0" w:after="0"/>
              <w:ind w:firstLine="0"/>
              <w:jc w:val="left"/>
            </w:pPr>
            <w:r>
              <w:rPr>
                <w:rFonts w:ascii="Times New Roman" w:hAnsi="Times New Roman"/>
                <w:sz w:val="22"/>
              </w:rPr>
              <w:t>D4</w:t>
            </w:r>
          </w:p>
        </w:tc>
        <w:tc>
          <w:tcPr>
            <w:tcW w:type="dxa" w:w="1542"/>
          </w:tcPr>
          <w:p>
            <w:pPr>
              <w:spacing w:before="0" w:after="0"/>
              <w:ind w:firstLine="0"/>
              <w:jc w:val="left"/>
            </w:pPr>
            <w:r>
              <w:rPr>
                <w:rFonts w:ascii="Times New Roman" w:hAnsi="Times New Roman"/>
                <w:sz w:val="22"/>
              </w:rPr>
              <w:t>Multi-Temporal</w:t>
            </w:r>
          </w:p>
        </w:tc>
        <w:tc>
          <w:tcPr>
            <w:tcW w:type="dxa" w:w="1542"/>
          </w:tcPr>
          <w:p>
            <w:pPr>
              <w:spacing w:before="0" w:after="0"/>
              <w:ind w:firstLine="0"/>
              <w:jc w:val="left"/>
            </w:pPr>
            <w:r>
              <w:rPr>
                <w:rFonts w:ascii="Times New Roman" w:hAnsi="Times New Roman"/>
                <w:sz w:val="22"/>
              </w:rPr>
              <w:t>5 orizonturi simultane: &lt;1s (PID/MPC) → 1–15 min (MILP) → 1–24h (LSTM+MILP) → săpt.–luni (RL) → ani–decenii (Digital Twin + Monte Carlo)</w:t>
            </w:r>
          </w:p>
        </w:tc>
        <w:tc>
          <w:tcPr>
            <w:tcW w:type="dxa" w:w="1542"/>
          </w:tcPr>
          <w:p>
            <w:pPr>
              <w:spacing w:before="0" w:after="0"/>
              <w:ind w:firstLine="0"/>
              <w:jc w:val="left"/>
            </w:pPr>
            <w:r>
              <w:rPr>
                <w:rFonts w:ascii="Times New Roman" w:hAnsi="Times New Roman"/>
                <w:sz w:val="22"/>
              </w:rPr>
              <w:t>Real-time + day-ahead (2 orizonturi)</w:t>
            </w:r>
          </w:p>
        </w:tc>
        <w:tc>
          <w:tcPr>
            <w:tcW w:type="dxa" w:w="1542"/>
          </w:tcPr>
          <w:p>
            <w:pPr>
              <w:spacing w:before="0" w:after="0"/>
              <w:ind w:firstLine="0"/>
              <w:jc w:val="left"/>
            </w:pPr>
            <w:r>
              <w:rPr>
                <w:rFonts w:ascii="Times New Roman" w:hAnsi="Times New Roman"/>
                <w:sz w:val="22"/>
              </w:rPr>
              <w:t>Algoritmii de scurtă durată (MILP/MPC) și lungă durată (RL/Monte Carlo) sunt cuplate: deciziile strategice (când se investește în H₂) constrâng deciziile tactice (cât se stochează la noapte)</w:t>
            </w:r>
          </w:p>
        </w:tc>
      </w:tr>
      <w:tr>
        <w:tc>
          <w:tcPr>
            <w:tcW w:type="dxa" w:w="1542"/>
          </w:tcPr>
          <w:p>
            <w:pPr>
              <w:spacing w:before="0" w:after="0"/>
              <w:ind w:firstLine="0"/>
              <w:jc w:val="left"/>
            </w:pPr>
            <w:r>
              <w:rPr>
                <w:rFonts w:ascii="Times New Roman" w:hAnsi="Times New Roman"/>
                <w:sz w:val="22"/>
              </w:rPr>
              <w:t>D5</w:t>
            </w:r>
          </w:p>
        </w:tc>
        <w:tc>
          <w:tcPr>
            <w:tcW w:type="dxa" w:w="1542"/>
          </w:tcPr>
          <w:p>
            <w:pPr>
              <w:spacing w:before="0" w:after="0"/>
              <w:ind w:firstLine="0"/>
              <w:jc w:val="left"/>
            </w:pPr>
            <w:r>
              <w:rPr>
                <w:rFonts w:ascii="Times New Roman" w:hAnsi="Times New Roman"/>
                <w:sz w:val="22"/>
              </w:rPr>
              <w:t>Multi-Actor</w:t>
            </w:r>
          </w:p>
        </w:tc>
        <w:tc>
          <w:tcPr>
            <w:tcW w:type="dxa" w:w="1542"/>
          </w:tcPr>
          <w:p>
            <w:pPr>
              <w:spacing w:before="0" w:after="0"/>
              <w:ind w:firstLine="0"/>
              <w:jc w:val="left"/>
            </w:pPr>
            <w:r>
              <w:rPr>
                <w:rFonts w:ascii="Times New Roman" w:hAnsi="Times New Roman"/>
                <w:sz w:val="22"/>
              </w:rPr>
              <w:t>8 categorii: prosumatori, operatori ESCO, OEM fabricanți, autorități locale, DSO/TSO, piețe OPCOM, investitori, comunitate științifică EnEx Institute; guvernanță policentrică cu subsidiaritate</w:t>
            </w:r>
          </w:p>
        </w:tc>
        <w:tc>
          <w:tcPr>
            <w:tcW w:type="dxa" w:w="1542"/>
          </w:tcPr>
          <w:p>
            <w:pPr>
              <w:spacing w:before="0" w:after="0"/>
              <w:ind w:firstLine="0"/>
              <w:jc w:val="left"/>
            </w:pPr>
            <w:r>
              <w:rPr>
                <w:rFonts w:ascii="Times New Roman" w:hAnsi="Times New Roman"/>
                <w:sz w:val="22"/>
              </w:rPr>
              <w:t>Prosumatori → piață (2 actori)</w:t>
            </w:r>
          </w:p>
        </w:tc>
        <w:tc>
          <w:tcPr>
            <w:tcW w:type="dxa" w:w="1542"/>
          </w:tcPr>
          <w:p>
            <w:pPr>
              <w:spacing w:before="0" w:after="0"/>
              <w:ind w:firstLine="0"/>
              <w:jc w:val="left"/>
            </w:pPr>
            <w:r>
              <w:rPr>
                <w:rFonts w:ascii="Times New Roman" w:hAnsi="Times New Roman"/>
                <w:sz w:val="22"/>
              </w:rPr>
              <w:t>Coordonarea intereselor divergente prin mecanisme de guvernanță democratică (Coop), transparență algoritmică (Cloud/App) și SolidarityX ca constrângere de echitate; rezolvă problema free-rider prin tokeni de guvernanță verificabili</w:t>
            </w:r>
          </w:p>
        </w:tc>
      </w:tr>
    </w:tbl>
    <w:p>
      <w:pPr>
        <w:ind w:firstLine="0"/>
      </w:pPr>
    </w:p>
    <w:p>
      <w:pPr>
        <w:pStyle w:val="TableCaption"/>
      </w:pPr>
      <w:r>
        <w:t>Tabel 9. Cele 5 dimensiuni ale agregării holistice EHA vs. nivelul clasic. Fiecare dimensiune adaugă un grad de libertate suplimentar în spațiul de optimizare, conducând la soluții imposibil de identificat în formulări cu mai puține dimensiuni. Sursă: elaborare proprie pe baza Model Spec EHA V1, Doctrine V3, EnEx Institute 2025.</w:t>
      </w:r>
    </w:p>
    <w:p>
      <w:pPr>
        <w:ind w:firstLine="0"/>
      </w:pPr>
    </w:p>
    <w:p>
      <w:pPr>
        <w:pStyle w:val="SubHeading"/>
        <w:keepNext/>
      </w:pPr>
      <w:r>
        <w:t>3.2 Funcția obiectiv pentadimensională</w:t>
      </w:r>
    </w:p>
    <w:p>
      <w:pPr>
        <w:ind w:firstLine="0"/>
      </w:pPr>
    </w:p>
    <w:p>
      <w:pPr/>
      <w:r>
        <w:t>EHA optimizează simultan o funcție obiectiv compusă din cinci criterii ponderate, fiecare măsurat în unități normalizate (0–1):</w:t>
      </w:r>
    </w:p>
    <w:p>
      <w:pPr/>
      <w:r>
        <w:t>Funcția obiectiv pentadimensională în forma sa normalizată este prezentată în Tabelul 10.</w:t>
      </w:r>
    </w:p>
    <w:p>
      <w:pPr>
        <w:ind w:firstLine="0"/>
      </w:pPr>
    </w:p>
    <w:p>
      <w:pPr>
        <w:pStyle w:val="TableCaption"/>
      </w:pPr>
      <w:r>
        <w:t>Tabel 10. Funcția obiectiv pentadimensională în forma sa normalizată</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FUNCȚIA OBIECTIV PENTADIMENSIONALĂ EHA (Forma Normalizată)</w:t>
            </w:r>
          </w:p>
        </w:tc>
      </w:tr>
      <w:tr>
        <w:tc>
          <w:tcPr>
            <w:tcW w:type="dxa" w:w="7710"/>
          </w:tcPr>
          <w:p>
            <w:pPr>
              <w:spacing w:before="0" w:after="0"/>
              <w:ind w:firstLine="0"/>
              <w:jc w:val="left"/>
            </w:pPr>
            <w:r>
              <w:rPr>
                <w:rFonts w:ascii="Times New Roman" w:hAnsi="Times New Roman"/>
                <w:sz w:val="22"/>
              </w:rPr>
              <w:t>F_EHA = w₁·max(η_ex) + w₂·min(Cost_total) + w₃·max(Autonomie) + w₄·min(Carbon_net) + w₅·max(Social_Impact)</w:t>
            </w:r>
          </w:p>
        </w:tc>
      </w:tr>
      <w:tr>
        <w:tc>
          <w:tcPr>
            <w:tcW w:type="dxa" w:w="7710"/>
          </w:tcPr>
          <w:p>
            <w:pPr>
              <w:spacing w:before="0" w:after="0"/>
              <w:ind w:firstLine="0"/>
              <w:jc w:val="left"/>
            </w:pPr>
            <w:r>
              <w:rPr>
                <w:rFonts w:ascii="Times New Roman" w:hAnsi="Times New Roman"/>
                <w:sz w:val="22"/>
              </w:rPr>
              <w:t>Constrângeri: Σwᵢ = 1; wᵢ ≥ 0. Ponderi implicite (faza de maturitate): w₁=0.30, w₂=0.25, w₃=0.20, w₄=0.15, w₅=0.10. Ponderi configurabile democratic de membrii Coop prin App (vot trimestrial). Constrângeri hard (neponderate): QMF ≥ 0.75; SolidarityX activ (min 5% redistributie); transparență 100%; zero vandalism termodinamic (QMF ≥ 0.20 pentru orice dispatch termic).</w:t>
            </w:r>
          </w:p>
        </w:tc>
      </w:tr>
    </w:tbl>
    <w:p>
      <w:pPr>
        <w:ind w:firstLine="0"/>
      </w:pPr>
    </w:p>
    <w:p>
      <w:pPr/>
      <w:r>
        <w:t>Algoritmul Pareto selectează soluțiile non-dominate pe frontiera optimală multi-criteriu. O soluție x* este Pareto-optimă dacă nu există nici o soluție x care să fie strict mai bună pe cel puțin un criteriu fără a fi mai slabă pe nici un altul. Frontiera Pareto a funcției obiectiv EHA conține tipic 15–50 de soluții non-dominate per interval de 15 minute, dintre care algoritmul MILP selectează cea mai apropiată de vectorul de ponderi w curent.</w:t>
      </w:r>
    </w:p>
    <w:p>
      <w:pPr>
        <w:ind w:firstLine="0"/>
      </w:pPr>
    </w:p>
    <w:p>
      <w:pPr>
        <w:pStyle w:val="SubHeading"/>
        <w:keepNext/>
      </w:pPr>
      <w:r>
        <w:t>3.3 Stiva algoritmică pe 4 niveluri</w:t>
      </w:r>
    </w:p>
    <w:p>
      <w:pPr>
        <w:ind w:firstLine="0"/>
      </w:pPr>
    </w:p>
    <w:p>
      <w:pPr/>
      <w:r>
        <w:t>EHA utilizează o stivă de algoritmi organizată pe 4 niveluri de complexitate crescătoare, fiecare cu orizont temporal distinct și responsabilitate operațională specifică. Tabelul 3 prezintă arhitectura completă:</w:t>
      </w:r>
    </w:p>
    <w:p>
      <w:pPr/>
      <w:r>
        <w:t>Nivelurile algoritmice și tehnologiile implementate în EHA sunt detaliate în Tabelul 11.</w:t>
      </w:r>
    </w:p>
    <w:p>
      <w:pPr>
        <w:ind w:firstLine="0"/>
      </w:pPr>
    </w:p>
    <w:p>
      <w:pPr>
        <w:pStyle w:val="TableCaption"/>
      </w:pPr>
      <w:r>
        <w:t>Tabel 11. Nivelurile algoritmice și tehnologiile implementate în EHA</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w:t>
            </w:r>
          </w:p>
        </w:tc>
        <w:tc>
          <w:tcPr>
            <w:tcW w:type="dxa" w:w="1285"/>
          </w:tcPr>
          <w:p>
            <w:pPr>
              <w:spacing w:before="0" w:after="0"/>
              <w:ind w:firstLine="0"/>
              <w:jc w:val="left"/>
            </w:pPr>
            <w:r>
              <w:rPr>
                <w:rFonts w:ascii="Times New Roman" w:hAnsi="Times New Roman"/>
                <w:b/>
                <w:sz w:val="22"/>
              </w:rPr>
              <w:t>Nivel Algoritmic</w:t>
            </w:r>
          </w:p>
        </w:tc>
        <w:tc>
          <w:tcPr>
            <w:tcW w:type="dxa" w:w="1285"/>
          </w:tcPr>
          <w:p>
            <w:pPr>
              <w:spacing w:before="0" w:after="0"/>
              <w:ind w:firstLine="0"/>
              <w:jc w:val="left"/>
            </w:pPr>
            <w:r>
              <w:rPr>
                <w:rFonts w:ascii="Times New Roman" w:hAnsi="Times New Roman"/>
                <w:b/>
                <w:sz w:val="22"/>
              </w:rPr>
              <w:t>Orizont temporal</w:t>
            </w:r>
          </w:p>
        </w:tc>
        <w:tc>
          <w:tcPr>
            <w:tcW w:type="dxa" w:w="1285"/>
          </w:tcPr>
          <w:p>
            <w:pPr>
              <w:spacing w:before="0" w:after="0"/>
              <w:ind w:firstLine="0"/>
              <w:jc w:val="left"/>
            </w:pPr>
            <w:r>
              <w:rPr>
                <w:rFonts w:ascii="Times New Roman" w:hAnsi="Times New Roman"/>
                <w:b/>
                <w:sz w:val="22"/>
              </w:rPr>
              <w:t>Algoritmi principali</w:t>
            </w:r>
          </w:p>
        </w:tc>
        <w:tc>
          <w:tcPr>
            <w:tcW w:type="dxa" w:w="1285"/>
          </w:tcPr>
          <w:p>
            <w:pPr>
              <w:spacing w:before="0" w:after="0"/>
              <w:ind w:firstLine="0"/>
              <w:jc w:val="left"/>
            </w:pPr>
            <w:r>
              <w:rPr>
                <w:rFonts w:ascii="Times New Roman" w:hAnsi="Times New Roman"/>
                <w:b/>
                <w:sz w:val="22"/>
              </w:rPr>
              <w:t>Tehnologie</w:t>
            </w:r>
          </w:p>
        </w:tc>
        <w:tc>
          <w:tcPr>
            <w:tcW w:type="dxa" w:w="1285"/>
          </w:tcPr>
          <w:p>
            <w:pPr>
              <w:spacing w:before="0" w:after="0"/>
              <w:ind w:firstLine="0"/>
              <w:jc w:val="left"/>
            </w:pPr>
            <w:r>
              <w:rPr>
                <w:rFonts w:ascii="Times New Roman" w:hAnsi="Times New Roman"/>
                <w:b/>
                <w:sz w:val="22"/>
              </w:rPr>
              <w:t>Funcție în EHA</w:t>
            </w:r>
          </w:p>
        </w:tc>
      </w:tr>
      <w:tr>
        <w:tc>
          <w:tcPr>
            <w:tcW w:type="dxa" w:w="1285"/>
          </w:tcPr>
          <w:p>
            <w:pPr>
              <w:spacing w:before="0" w:after="0"/>
              <w:ind w:firstLine="0"/>
              <w:jc w:val="left"/>
            </w:pPr>
            <w:r>
              <w:rPr>
                <w:rFonts w:ascii="Times New Roman" w:hAnsi="Times New Roman"/>
                <w:sz w:val="22"/>
              </w:rPr>
              <w:t>A1</w:t>
            </w:r>
          </w:p>
        </w:tc>
        <w:tc>
          <w:tcPr>
            <w:tcW w:type="dxa" w:w="1285"/>
          </w:tcPr>
          <w:p>
            <w:pPr>
              <w:spacing w:before="0" w:after="0"/>
              <w:ind w:firstLine="0"/>
              <w:jc w:val="left"/>
            </w:pPr>
            <w:r>
              <w:rPr>
                <w:rFonts w:ascii="Times New Roman" w:hAnsi="Times New Roman"/>
                <w:sz w:val="22"/>
              </w:rPr>
              <w:t>REACTIV (Control clasic)</w:t>
            </w:r>
          </w:p>
        </w:tc>
        <w:tc>
          <w:tcPr>
            <w:tcW w:type="dxa" w:w="1285"/>
          </w:tcPr>
          <w:p>
            <w:pPr>
              <w:spacing w:before="0" w:after="0"/>
              <w:ind w:firstLine="0"/>
              <w:jc w:val="left"/>
            </w:pPr>
            <w:r>
              <w:rPr>
                <w:rFonts w:ascii="Times New Roman" w:hAnsi="Times New Roman"/>
                <w:sz w:val="22"/>
              </w:rPr>
              <w:t>Sub-secundă → 1 min</w:t>
            </w:r>
          </w:p>
        </w:tc>
        <w:tc>
          <w:tcPr>
            <w:tcW w:type="dxa" w:w="1285"/>
          </w:tcPr>
          <w:p>
            <w:pPr>
              <w:spacing w:before="0" w:after="0"/>
              <w:ind w:firstLine="0"/>
              <w:jc w:val="left"/>
            </w:pPr>
            <w:r>
              <w:rPr>
                <w:rFonts w:ascii="Times New Roman" w:hAnsi="Times New Roman"/>
                <w:sz w:val="22"/>
              </w:rPr>
              <w:t>PID, control fuzzy, reguli SCADA, MPC (Model Predictive Control)</w:t>
            </w:r>
          </w:p>
        </w:tc>
        <w:tc>
          <w:tcPr>
            <w:tcW w:type="dxa" w:w="1285"/>
          </w:tcPr>
          <w:p>
            <w:pPr>
              <w:spacing w:before="0" w:after="0"/>
              <w:ind w:firstLine="0"/>
              <w:jc w:val="left"/>
            </w:pPr>
            <w:r>
              <w:rPr>
                <w:rFonts w:ascii="Times New Roman" w:hAnsi="Times New Roman"/>
                <w:sz w:val="22"/>
              </w:rPr>
              <w:t>ARM/Linux RT, SCADA, OPC-UA IEC 61850</w:t>
            </w:r>
          </w:p>
        </w:tc>
        <w:tc>
          <w:tcPr>
            <w:tcW w:type="dxa" w:w="1285"/>
          </w:tcPr>
          <w:p>
            <w:pPr>
              <w:spacing w:before="0" w:after="0"/>
              <w:ind w:firstLine="0"/>
              <w:jc w:val="left"/>
            </w:pPr>
            <w:r>
              <w:rPr>
                <w:rFonts w:ascii="Times New Roman" w:hAnsi="Times New Roman"/>
                <w:sz w:val="22"/>
              </w:rPr>
              <w:t>Echilibrare instantanee, protecții, island mode trigger; latență &lt;10ms; nu utilizează AI — siguranță prin design determinist</w:t>
            </w:r>
          </w:p>
        </w:tc>
      </w:tr>
      <w:tr>
        <w:tc>
          <w:tcPr>
            <w:tcW w:type="dxa" w:w="1285"/>
          </w:tcPr>
          <w:p>
            <w:pPr>
              <w:spacing w:before="0" w:after="0"/>
              <w:ind w:firstLine="0"/>
              <w:jc w:val="left"/>
            </w:pPr>
            <w:r>
              <w:rPr>
                <w:rFonts w:ascii="Times New Roman" w:hAnsi="Times New Roman"/>
                <w:sz w:val="22"/>
              </w:rPr>
              <w:t>A2</w:t>
            </w:r>
          </w:p>
        </w:tc>
        <w:tc>
          <w:tcPr>
            <w:tcW w:type="dxa" w:w="1285"/>
          </w:tcPr>
          <w:p>
            <w:pPr>
              <w:spacing w:before="0" w:after="0"/>
              <w:ind w:firstLine="0"/>
              <w:jc w:val="left"/>
            </w:pPr>
            <w:r>
              <w:rPr>
                <w:rFonts w:ascii="Times New Roman" w:hAnsi="Times New Roman"/>
                <w:sz w:val="22"/>
              </w:rPr>
              <w:t>PREDICTIV (Machine Learning)</w:t>
            </w:r>
          </w:p>
        </w:tc>
        <w:tc>
          <w:tcPr>
            <w:tcW w:type="dxa" w:w="1285"/>
          </w:tcPr>
          <w:p>
            <w:pPr>
              <w:spacing w:before="0" w:after="0"/>
              <w:ind w:firstLine="0"/>
              <w:jc w:val="left"/>
            </w:pPr>
            <w:r>
              <w:rPr>
                <w:rFonts w:ascii="Times New Roman" w:hAnsi="Times New Roman"/>
                <w:sz w:val="22"/>
              </w:rPr>
              <w:t>1 min → 24h ahead</w:t>
            </w:r>
          </w:p>
        </w:tc>
        <w:tc>
          <w:tcPr>
            <w:tcW w:type="dxa" w:w="1285"/>
          </w:tcPr>
          <w:p>
            <w:pPr>
              <w:spacing w:before="0" w:after="0"/>
              <w:ind w:firstLine="0"/>
              <w:jc w:val="left"/>
            </w:pPr>
            <w:r>
              <w:rPr>
                <w:rFonts w:ascii="Times New Roman" w:hAnsi="Times New Roman"/>
                <w:sz w:val="22"/>
              </w:rPr>
              <w:t>LSTM (producție FV/eolian), GRU (consum termic), Random Forest (AssetHealth), XGBoost (prețuri OPCOM)</w:t>
            </w:r>
          </w:p>
        </w:tc>
        <w:tc>
          <w:tcPr>
            <w:tcW w:type="dxa" w:w="1285"/>
          </w:tcPr>
          <w:p>
            <w:pPr>
              <w:spacing w:before="0" w:after="0"/>
              <w:ind w:firstLine="0"/>
              <w:jc w:val="left"/>
            </w:pPr>
            <w:r>
              <w:rPr>
                <w:rFonts w:ascii="Times New Roman" w:hAnsi="Times New Roman"/>
                <w:sz w:val="22"/>
              </w:rPr>
              <w:t>TensorFlow Lite (edge), PyTorch (cloud), scikit-learn; MAE &lt;5% FV, &lt;8% eolian, &lt;7% consum</w:t>
            </w:r>
          </w:p>
        </w:tc>
        <w:tc>
          <w:tcPr>
            <w:tcW w:type="dxa" w:w="1285"/>
          </w:tcPr>
          <w:p>
            <w:pPr>
              <w:spacing w:before="0" w:after="0"/>
              <w:ind w:firstLine="0"/>
              <w:jc w:val="left"/>
            </w:pPr>
            <w:r>
              <w:rPr>
                <w:rFonts w:ascii="Times New Roman" w:hAnsi="Times New Roman"/>
                <w:sz w:val="22"/>
              </w:rPr>
              <w:t>Prognoze producție/consum per vector pe 24h rolling; prognoze prețuri OPCOM; detecție anomalii AssetHealth; retraining automat săptămânal</w:t>
            </w:r>
          </w:p>
        </w:tc>
      </w:tr>
      <w:tr>
        <w:tc>
          <w:tcPr>
            <w:tcW w:type="dxa" w:w="1285"/>
          </w:tcPr>
          <w:p>
            <w:pPr>
              <w:spacing w:before="0" w:after="0"/>
              <w:ind w:firstLine="0"/>
              <w:jc w:val="left"/>
            </w:pPr>
            <w:r>
              <w:rPr>
                <w:rFonts w:ascii="Times New Roman" w:hAnsi="Times New Roman"/>
                <w:sz w:val="22"/>
              </w:rPr>
              <w:t>A3</w:t>
            </w:r>
          </w:p>
        </w:tc>
        <w:tc>
          <w:tcPr>
            <w:tcW w:type="dxa" w:w="1285"/>
          </w:tcPr>
          <w:p>
            <w:pPr>
              <w:spacing w:before="0" w:after="0"/>
              <w:ind w:firstLine="0"/>
              <w:jc w:val="left"/>
            </w:pPr>
            <w:r>
              <w:rPr>
                <w:rFonts w:ascii="Times New Roman" w:hAnsi="Times New Roman"/>
                <w:sz w:val="22"/>
              </w:rPr>
              <w:t>OPTIMIZARE (Matematic + RL)</w:t>
            </w:r>
          </w:p>
        </w:tc>
        <w:tc>
          <w:tcPr>
            <w:tcW w:type="dxa" w:w="1285"/>
          </w:tcPr>
          <w:p>
            <w:pPr>
              <w:spacing w:before="0" w:after="0"/>
              <w:ind w:firstLine="0"/>
              <w:jc w:val="left"/>
            </w:pPr>
            <w:r>
              <w:rPr>
                <w:rFonts w:ascii="Times New Roman" w:hAnsi="Times New Roman"/>
                <w:sz w:val="22"/>
              </w:rPr>
              <w:t>15 min → 1 săpt.</w:t>
            </w:r>
          </w:p>
        </w:tc>
        <w:tc>
          <w:tcPr>
            <w:tcW w:type="dxa" w:w="1285"/>
          </w:tcPr>
          <w:p>
            <w:pPr>
              <w:spacing w:before="0" w:after="0"/>
              <w:ind w:firstLine="0"/>
              <w:jc w:val="left"/>
            </w:pPr>
            <w:r>
              <w:rPr>
                <w:rFonts w:ascii="Times New Roman" w:hAnsi="Times New Roman"/>
                <w:sz w:val="22"/>
              </w:rPr>
              <w:t>MILP (Mixed Integer Linear Programming) cu rolling horizon 4h; Reinforcement Learning PPO/SAC pentru adaptare adaptivă sezonieră</w:t>
            </w:r>
          </w:p>
        </w:tc>
        <w:tc>
          <w:tcPr>
            <w:tcW w:type="dxa" w:w="1285"/>
          </w:tcPr>
          <w:p>
            <w:pPr>
              <w:spacing w:before="0" w:after="0"/>
              <w:ind w:firstLine="0"/>
              <w:jc w:val="left"/>
            </w:pPr>
            <w:r>
              <w:rPr>
                <w:rFonts w:ascii="Times New Roman" w:hAnsi="Times New Roman"/>
                <w:sz w:val="22"/>
              </w:rPr>
              <w:t>OR-Tools (Google), Gurobi, CVXPY; Stable-Baselines3 (RL); interval rezolvare MILP ≤30s, fallback euristic dacă &gt;30s</w:t>
            </w:r>
          </w:p>
        </w:tc>
        <w:tc>
          <w:tcPr>
            <w:tcW w:type="dxa" w:w="1285"/>
          </w:tcPr>
          <w:p>
            <w:pPr>
              <w:spacing w:before="0" w:after="0"/>
              <w:ind w:firstLine="0"/>
              <w:jc w:val="left"/>
            </w:pPr>
            <w:r>
              <w:rPr>
                <w:rFonts w:ascii="Times New Roman" w:hAnsi="Times New Roman"/>
                <w:sz w:val="22"/>
              </w:rPr>
              <w:t>Dispatch multi-vector optim: min(Ex_destroyed) cu constrângeri balanță per vector, limite tehnice, ramp rates, solidaritate; Trading optim OPCOM; Cascadă termodinamică automată; ScenarioLab comutare scenarii</w:t>
            </w:r>
          </w:p>
        </w:tc>
      </w:tr>
      <w:tr>
        <w:tc>
          <w:tcPr>
            <w:tcW w:type="dxa" w:w="1285"/>
          </w:tcPr>
          <w:p>
            <w:pPr>
              <w:spacing w:before="0" w:after="0"/>
              <w:ind w:firstLine="0"/>
              <w:jc w:val="left"/>
            </w:pPr>
            <w:r>
              <w:rPr>
                <w:rFonts w:ascii="Times New Roman" w:hAnsi="Times New Roman"/>
                <w:sz w:val="22"/>
              </w:rPr>
              <w:t>A4</w:t>
            </w:r>
          </w:p>
        </w:tc>
        <w:tc>
          <w:tcPr>
            <w:tcW w:type="dxa" w:w="1285"/>
          </w:tcPr>
          <w:p>
            <w:pPr>
              <w:spacing w:before="0" w:after="0"/>
              <w:ind w:firstLine="0"/>
              <w:jc w:val="left"/>
            </w:pPr>
            <w:r>
              <w:rPr>
                <w:rFonts w:ascii="Times New Roman" w:hAnsi="Times New Roman"/>
                <w:sz w:val="22"/>
              </w:rPr>
              <w:t>STRATEGIC (Simulare)</w:t>
            </w:r>
          </w:p>
        </w:tc>
        <w:tc>
          <w:tcPr>
            <w:tcW w:type="dxa" w:w="1285"/>
          </w:tcPr>
          <w:p>
            <w:pPr>
              <w:spacing w:before="0" w:after="0"/>
              <w:ind w:firstLine="0"/>
              <w:jc w:val="left"/>
            </w:pPr>
            <w:r>
              <w:rPr>
                <w:rFonts w:ascii="Times New Roman" w:hAnsi="Times New Roman"/>
                <w:sz w:val="22"/>
              </w:rPr>
              <w:t>Săptămâni → decenii</w:t>
            </w:r>
          </w:p>
        </w:tc>
        <w:tc>
          <w:tcPr>
            <w:tcW w:type="dxa" w:w="1285"/>
          </w:tcPr>
          <w:p>
            <w:pPr>
              <w:spacing w:before="0" w:after="0"/>
              <w:ind w:firstLine="0"/>
              <w:jc w:val="left"/>
            </w:pPr>
            <w:r>
              <w:rPr>
                <w:rFonts w:ascii="Times New Roman" w:hAnsi="Times New Roman"/>
                <w:sz w:val="22"/>
              </w:rPr>
              <w:t>Simulare Monte Carlo (incertitudine prețuri/climă), Digital Twin (3D + date reale), optimizare robustă</w:t>
            </w:r>
          </w:p>
        </w:tc>
        <w:tc>
          <w:tcPr>
            <w:tcW w:type="dxa" w:w="1285"/>
          </w:tcPr>
          <w:p>
            <w:pPr>
              <w:spacing w:before="0" w:after="0"/>
              <w:ind w:firstLine="0"/>
              <w:jc w:val="left"/>
            </w:pPr>
            <w:r>
              <w:rPr>
                <w:rFonts w:ascii="Times New Roman" w:hAnsi="Times New Roman"/>
                <w:sz w:val="22"/>
              </w:rPr>
              <w:t>Unity/Unreal + EMS real-time; Monte Carlo Python (NumPy/SciPy); Digital Twin accuracy ≥95%</w:t>
            </w:r>
          </w:p>
        </w:tc>
        <w:tc>
          <w:tcPr>
            <w:tcW w:type="dxa" w:w="1285"/>
          </w:tcPr>
          <w:p>
            <w:pPr>
              <w:spacing w:before="0" w:after="0"/>
              <w:ind w:firstLine="0"/>
              <w:jc w:val="left"/>
            </w:pPr>
            <w:r>
              <w:rPr>
                <w:rFonts w:ascii="Times New Roman" w:hAnsi="Times New Roman"/>
                <w:sz w:val="22"/>
              </w:rPr>
              <w:t>Planificare investiții (NPV/IRR per scenariu); Roadmap upgrade echipamente; Testare configurații noi virtual înainte de implementare fizică; Planificare sezonieră multi-an</w:t>
            </w:r>
          </w:p>
        </w:tc>
      </w:tr>
    </w:tbl>
    <w:p>
      <w:pPr>
        <w:ind w:firstLine="0"/>
      </w:pPr>
    </w:p>
    <w:p>
      <w:pPr>
        <w:pStyle w:val="TableCaption"/>
      </w:pPr>
      <w:r>
        <w:t>Tabel 12. Stiva algoritmică EHA pe 4 niveluri. Nivelurile A1 și A2 operează la nivel Edge (HUB local); A3 la nivel Cloud comunitar; A4 la nivel Meta-Cloud multi-comunitar. Integrare completă: deciziile A4 (strategic) definesc constrângerile și scenariile pentru A3 (optimizare); A3 definește setpointurile pentru A2 (predictiv); A2 alimentează prognozele pentru A1 (reactiv). Sursă: elaborare proprie pe baza DigitAll V4, EnEx Institute 2025–2026.</w:t>
      </w:r>
    </w:p>
    <w:p>
      <w:pPr>
        <w:ind w:firstLine="0"/>
      </w:pPr>
    </w:p>
    <w:p>
      <w:pPr>
        <w:pStyle w:val="SubHeading"/>
        <w:keepNext/>
      </w:pPr>
      <w:r>
        <w:t>3.4 Arhitectura ierarhică n0–n6 și agregarea recursivă</w:t>
      </w:r>
    </w:p>
    <w:p>
      <w:pPr>
        <w:ind w:firstLine="0"/>
      </w:pPr>
    </w:p>
    <w:p>
      <w:pPr/>
      <w:r>
        <w:t>EHA operează recursiv pe 7 niveluri ierarhice (N0–N6), cu agregare bottom-up (colectare stări de la niveluri inferioare) și directive top-down (optimizare la nivel superior transmisă ca constrângeri la niveluri inferioare). Fiecare nivel are propriii algoritmi și funcții de agregare:</w:t>
      </w:r>
    </w:p>
    <w:p>
      <w:pPr>
        <w:pStyle w:val="ListParagraph"/>
        <w:ind w:left="1" w:hanging="1"/>
      </w:pPr>
      <w:r>
        <w:t>• N0 (Exergy Module): monitorizare parametri individuali (temperaturi, puteri, debite); date brute senzoriale la 1–10s; fără logică de decizie locală.</w:t>
      </w:r>
    </w:p>
    <w:p>
      <w:pPr>
        <w:pStyle w:val="ListParagraph"/>
        <w:ind w:left="1" w:hanging="1"/>
      </w:pPr>
      <w:r>
        <w:t>• N1 (Exergy Box): agregare intra-Box, optimizare cascadă internă (Quality Matching per Box), balanță electrică/termică locală; MILP local cu orizont 1h.</w:t>
      </w:r>
    </w:p>
    <w:p>
      <w:pPr>
        <w:pStyle w:val="ListParagraph"/>
        <w:ind w:left="1" w:hanging="1"/>
      </w:pPr>
      <w:r>
        <w:t>• N2 (Exergy HUB): agregare inter-Box, dispatch AI multi-vector, management stocare, island mode capability; MILP principal cu orizont 4h.</w:t>
      </w:r>
    </w:p>
    <w:p>
      <w:pPr>
        <w:pStyle w:val="ListParagraph"/>
        <w:ind w:left="1" w:hanging="1"/>
      </w:pPr>
      <w:r>
        <w:t>• N3 (Micro-Grid): agregare producție-consum-stocare locală; autonomie parțială ≥72h island mode; piață de energie internă intra-comunitate.</w:t>
      </w:r>
    </w:p>
    <w:p>
      <w:pPr>
        <w:pStyle w:val="ListParagraph"/>
        <w:ind w:left="1" w:hanging="1"/>
      </w:pPr>
      <w:r>
        <w:t>• N4 (Exergy Grid): agregare inter-Micro-Grid, echilibrare rețea, management vârfuri sarcină; interfață cu DSO/TSO.</w:t>
      </w:r>
    </w:p>
    <w:p>
      <w:pPr>
        <w:pStyle w:val="ListParagraph"/>
        <w:ind w:left="1" w:hanging="1"/>
      </w:pPr>
      <w:r>
        <w:t>• N5 (Community): agregare holistică completă energie+materie+social+financiar; ecosistem regenerativ complet; participare OPCOM ca VPP.</w:t>
      </w:r>
    </w:p>
    <w:p>
      <w:pPr>
        <w:pStyle w:val="ListParagraph"/>
        <w:ind w:left="1" w:hanging="1"/>
      </w:pPr>
      <w:r>
        <w:t>• N6 (Network): meta-agregare inter-comunitară; solidaritate mutuală; arbitraj inter-comunitar; proprietăți emergente de rețea (reziliență, piață, solidaritate mutuală).</w:t>
      </w:r>
    </w:p>
    <w:p>
      <w:pPr/>
      <w:r>
        <w:t>Proprietățile emergente rezultate din agregarea recursivă se regăsesc în Tabelul 13.</w:t>
      </w:r>
    </w:p>
    <w:p>
      <w:pPr>
        <w:ind w:firstLine="0"/>
      </w:pPr>
    </w:p>
    <w:p>
      <w:pPr>
        <w:pStyle w:val="TableCaption"/>
      </w:pPr>
      <w:r>
        <w:t>Tabel 13. Proprietățile emergente rezultate din agregarea recursivă</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PROPRIETATEA EMERGENTĂ A AGREGĂRII RECURSIVE</w:t>
            </w:r>
          </w:p>
        </w:tc>
      </w:tr>
      <w:tr>
        <w:tc>
          <w:tcPr>
            <w:tcW w:type="dxa" w:w="7710"/>
          </w:tcPr>
          <w:p>
            <w:pPr>
              <w:spacing w:before="0" w:after="0"/>
              <w:ind w:firstLine="0"/>
              <w:jc w:val="left"/>
            </w:pPr>
            <w:r>
              <w:rPr>
                <w:rFonts w:ascii="Times New Roman" w:hAnsi="Times New Roman"/>
                <w:sz w:val="22"/>
              </w:rPr>
              <w:t>Proprietatea emergentă fundamentală a arhitecturii recursive N0–N6: fiecare nivel superior creează capabilități care nu există la nivelurile inferioare. Exemplu: o singură baterie de 10 kWh (N0) nu poate participa pe piața de echilibrare ANRE (capacitate minimă: 1 MW). Dar 100 de baterii de 10 kWh agregatede EHA la N5 creează un VPP de 1 MW capabil să participe și să genereze venituri de echilibrare disponibile tuturor membrilor comunității — valoare emergentă creată exclusiv prin agregare holistică.</w:t>
            </w:r>
          </w:p>
        </w:tc>
      </w:tr>
    </w:tbl>
    <w:p>
      <w:pPr>
        <w:ind w:firstLine="0"/>
      </w:pPr>
    </w:p>
    <w:p>
      <w:pPr>
        <w:ind w:firstLine="0"/>
      </w:pPr>
    </w:p>
    <w:p>
      <w:pPr>
        <w:pStyle w:val="ChapterHeading"/>
        <w:keepNext/>
      </w:pPr>
      <w:r>
        <w:t>4. Diferențiatorii Față de Agregatoarele Convenționale</w:t>
      </w:r>
    </w:p>
    <w:p>
      <w:pPr>
        <w:ind w:firstLine="0"/>
      </w:pPr>
    </w:p>
    <w:p>
      <w:pPr>
        <w:pStyle w:val="SubHeading"/>
        <w:keepNext/>
      </w:pPr>
      <w:r>
        <w:t>4.1 Analiza comparativă structurată pe 12 criterii</w:t>
      </w:r>
    </w:p>
    <w:p>
      <w:pPr>
        <w:ind w:firstLine="0"/>
      </w:pPr>
    </w:p>
    <w:p>
      <w:pPr/>
      <w:r>
        <w:t>Tabelul 4 prezintă analiza comparativă completă pe 12 criterii structurale ale EHA față de agregatoarele convenționale mono-vector, cu cuantificarea avantajului diferențial acolo unde datele permit:</w:t>
      </w:r>
    </w:p>
    <w:p>
      <w:pPr/>
      <w:r>
        <w:t>Comparația performanțelor între agregatorul convențional și EHA multi-vector este prezentată în Tabelul 14.</w:t>
      </w:r>
    </w:p>
    <w:p>
      <w:pPr>
        <w:ind w:firstLine="0"/>
      </w:pPr>
    </w:p>
    <w:p>
      <w:pPr>
        <w:pStyle w:val="TableCaption"/>
      </w:pPr>
      <w:r>
        <w:t>Tabel 14. Comparația performanțelor între agregatorul convențional și EHA multi-vector</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Criteriu de Comparație</w:t>
            </w:r>
          </w:p>
        </w:tc>
        <w:tc>
          <w:tcPr>
            <w:tcW w:type="dxa" w:w="1927"/>
          </w:tcPr>
          <w:p>
            <w:pPr>
              <w:spacing w:before="0" w:after="0"/>
              <w:ind w:firstLine="0"/>
              <w:jc w:val="left"/>
            </w:pPr>
            <w:r>
              <w:rPr>
                <w:rFonts w:ascii="Times New Roman" w:hAnsi="Times New Roman"/>
                <w:b/>
                <w:sz w:val="22"/>
              </w:rPr>
              <w:t>Agregator Convențional Mono-Vector</w:t>
            </w:r>
          </w:p>
        </w:tc>
        <w:tc>
          <w:tcPr>
            <w:tcW w:type="dxa" w:w="1927"/>
          </w:tcPr>
          <w:p>
            <w:pPr>
              <w:spacing w:before="0" w:after="0"/>
              <w:ind w:firstLine="0"/>
              <w:jc w:val="left"/>
            </w:pPr>
            <w:r>
              <w:rPr>
                <w:rFonts w:ascii="Times New Roman" w:hAnsi="Times New Roman"/>
                <w:b/>
                <w:sz w:val="22"/>
              </w:rPr>
              <w:t>EHA Multi-Vector (Exergy)</w:t>
            </w:r>
          </w:p>
        </w:tc>
        <w:tc>
          <w:tcPr>
            <w:tcW w:type="dxa" w:w="1927"/>
          </w:tcPr>
          <w:p>
            <w:pPr>
              <w:spacing w:before="0" w:after="0"/>
              <w:ind w:firstLine="0"/>
              <w:jc w:val="left"/>
            </w:pPr>
            <w:r>
              <w:rPr>
                <w:rFonts w:ascii="Times New Roman" w:hAnsi="Times New Roman"/>
                <w:b/>
                <w:sz w:val="22"/>
              </w:rPr>
              <w:t>Avantaj EHA cuantificat</w:t>
            </w:r>
          </w:p>
        </w:tc>
      </w:tr>
      <w:tr>
        <w:tc>
          <w:tcPr>
            <w:tcW w:type="dxa" w:w="1927"/>
          </w:tcPr>
          <w:p>
            <w:pPr>
              <w:spacing w:before="0" w:after="0"/>
              <w:ind w:firstLine="0"/>
              <w:jc w:val="left"/>
            </w:pPr>
            <w:r>
              <w:rPr>
                <w:rFonts w:ascii="Times New Roman" w:hAnsi="Times New Roman"/>
                <w:sz w:val="22"/>
              </w:rPr>
              <w:t>Vectori energetici gestionați simultani</w:t>
            </w:r>
          </w:p>
        </w:tc>
        <w:tc>
          <w:tcPr>
            <w:tcW w:type="dxa" w:w="1927"/>
          </w:tcPr>
          <w:p>
            <w:pPr>
              <w:spacing w:before="0" w:after="0"/>
              <w:ind w:firstLine="0"/>
              <w:jc w:val="left"/>
            </w:pPr>
            <w:r>
              <w:rPr>
                <w:rFonts w:ascii="Times New Roman" w:hAnsi="Times New Roman"/>
                <w:sz w:val="22"/>
              </w:rPr>
              <w:t>1 (electricitate exclusiv)</w:t>
            </w:r>
          </w:p>
        </w:tc>
        <w:tc>
          <w:tcPr>
            <w:tcW w:type="dxa" w:w="1927"/>
          </w:tcPr>
          <w:p>
            <w:pPr>
              <w:spacing w:before="0" w:after="0"/>
              <w:ind w:firstLine="0"/>
              <w:jc w:val="left"/>
            </w:pPr>
            <w:r>
              <w:rPr>
                <w:rFonts w:ascii="Times New Roman" w:hAnsi="Times New Roman"/>
                <w:sz w:val="22"/>
              </w:rPr>
              <w:t>13+ (electric, termic 3 niveluri, frigorific, SRF, biomasă, H₂, stocare ×2, flex., carbon, financiar, tokeni)</w:t>
            </w:r>
          </w:p>
        </w:tc>
        <w:tc>
          <w:tcPr>
            <w:tcW w:type="dxa" w:w="1927"/>
          </w:tcPr>
          <w:p>
            <w:pPr>
              <w:spacing w:before="0" w:after="0"/>
              <w:ind w:firstLine="0"/>
              <w:jc w:val="left"/>
            </w:pPr>
            <w:r>
              <w:rPr>
                <w:rFonts w:ascii="Times New Roman" w:hAnsi="Times New Roman"/>
                <w:sz w:val="22"/>
              </w:rPr>
              <w:t>×13 vectori → acoperire 100% vs. 30–40% din consumul energetic real al comunității</w:t>
            </w:r>
          </w:p>
        </w:tc>
      </w:tr>
      <w:tr>
        <w:tc>
          <w:tcPr>
            <w:tcW w:type="dxa" w:w="1927"/>
          </w:tcPr>
          <w:p>
            <w:pPr>
              <w:spacing w:before="0" w:after="0"/>
              <w:ind w:firstLine="0"/>
              <w:jc w:val="left"/>
            </w:pPr>
            <w:r>
              <w:rPr>
                <w:rFonts w:ascii="Times New Roman" w:hAnsi="Times New Roman"/>
                <w:sz w:val="22"/>
              </w:rPr>
              <w:t>Consum termic al comunității (60–70% din total)</w:t>
            </w:r>
          </w:p>
        </w:tc>
        <w:tc>
          <w:tcPr>
            <w:tcW w:type="dxa" w:w="1927"/>
          </w:tcPr>
          <w:p>
            <w:pPr>
              <w:spacing w:before="0" w:after="0"/>
              <w:ind w:firstLine="0"/>
              <w:jc w:val="left"/>
            </w:pPr>
            <w:r>
              <w:rPr>
                <w:rFonts w:ascii="Times New Roman" w:hAnsi="Times New Roman"/>
                <w:sz w:val="22"/>
              </w:rPr>
              <w:t>IGNORAT — nu este în domeniul de optimizare</w:t>
            </w:r>
          </w:p>
        </w:tc>
        <w:tc>
          <w:tcPr>
            <w:tcW w:type="dxa" w:w="1927"/>
          </w:tcPr>
          <w:p>
            <w:pPr>
              <w:spacing w:before="0" w:after="0"/>
              <w:ind w:firstLine="0"/>
              <w:jc w:val="left"/>
            </w:pPr>
            <w:r>
              <w:rPr>
                <w:rFonts w:ascii="Times New Roman" w:hAnsi="Times New Roman"/>
                <w:sz w:val="22"/>
              </w:rPr>
              <w:t>Integrat nativ: termic N1/N2/N3 + frigorific; cascadă automată; QMF ≥ 0.80 impus</w:t>
            </w:r>
          </w:p>
        </w:tc>
        <w:tc>
          <w:tcPr>
            <w:tcW w:type="dxa" w:w="1927"/>
          </w:tcPr>
          <w:p>
            <w:pPr>
              <w:spacing w:before="0" w:after="0"/>
              <w:ind w:firstLine="0"/>
              <w:jc w:val="left"/>
            </w:pPr>
            <w:r>
              <w:rPr>
                <w:rFonts w:ascii="Times New Roman" w:hAnsi="Times New Roman"/>
                <w:sz w:val="22"/>
              </w:rPr>
              <w:t>60–70% din energia comunitară recuperată în optimizare → Cross-Vector Synergy ≥8%</w:t>
            </w:r>
          </w:p>
        </w:tc>
      </w:tr>
      <w:tr>
        <w:tc>
          <w:tcPr>
            <w:tcW w:type="dxa" w:w="1927"/>
          </w:tcPr>
          <w:p>
            <w:pPr>
              <w:spacing w:before="0" w:after="0"/>
              <w:ind w:firstLine="0"/>
              <w:jc w:val="left"/>
            </w:pPr>
            <w:r>
              <w:rPr>
                <w:rFonts w:ascii="Times New Roman" w:hAnsi="Times New Roman"/>
                <w:sz w:val="22"/>
              </w:rPr>
              <w:t>Funcție obiectiv de optimizare</w:t>
            </w:r>
          </w:p>
        </w:tc>
        <w:tc>
          <w:tcPr>
            <w:tcW w:type="dxa" w:w="1927"/>
          </w:tcPr>
          <w:p>
            <w:pPr>
              <w:spacing w:before="0" w:after="0"/>
              <w:ind w:firstLine="0"/>
              <w:jc w:val="left"/>
            </w:pPr>
            <w:r>
              <w:rPr>
                <w:rFonts w:ascii="Times New Roman" w:hAnsi="Times New Roman"/>
                <w:sz w:val="22"/>
              </w:rPr>
              <w:t>Maximizare profit electric (1 criteriu)</w:t>
            </w:r>
          </w:p>
        </w:tc>
        <w:tc>
          <w:tcPr>
            <w:tcW w:type="dxa" w:w="1927"/>
          </w:tcPr>
          <w:p>
            <w:pPr>
              <w:spacing w:before="0" w:after="0"/>
              <w:ind w:firstLine="0"/>
              <w:jc w:val="left"/>
            </w:pPr>
            <w:r>
              <w:rPr>
                <w:rFonts w:ascii="Times New Roman" w:hAnsi="Times New Roman"/>
                <w:sz w:val="22"/>
              </w:rPr>
              <w:t>Pentadimensională: η_ex + Cost + Autonomie + Carbon + Social (5 ponderate simultan)</w:t>
            </w:r>
          </w:p>
        </w:tc>
        <w:tc>
          <w:tcPr>
            <w:tcW w:type="dxa" w:w="1927"/>
          </w:tcPr>
          <w:p>
            <w:pPr>
              <w:spacing w:before="0" w:after="0"/>
              <w:ind w:firstLine="0"/>
              <w:jc w:val="left"/>
            </w:pPr>
            <w:r>
              <w:rPr>
                <w:rFonts w:ascii="Times New Roman" w:hAnsi="Times New Roman"/>
                <w:sz w:val="22"/>
              </w:rPr>
              <w:t>Optimum Pareto: soluții non-dominate imposibil de identificat cu abordare mono-criteriu</w:t>
            </w:r>
          </w:p>
        </w:tc>
      </w:tr>
      <w:tr>
        <w:tc>
          <w:tcPr>
            <w:tcW w:type="dxa" w:w="1927"/>
          </w:tcPr>
          <w:p>
            <w:pPr>
              <w:spacing w:before="0" w:after="0"/>
              <w:ind w:firstLine="0"/>
              <w:jc w:val="left"/>
            </w:pPr>
            <w:r>
              <w:rPr>
                <w:rFonts w:ascii="Times New Roman" w:hAnsi="Times New Roman"/>
                <w:sz w:val="22"/>
              </w:rPr>
              <w:t>Scări ierarhice operate simultan</w:t>
            </w:r>
          </w:p>
        </w:tc>
        <w:tc>
          <w:tcPr>
            <w:tcW w:type="dxa" w:w="1927"/>
          </w:tcPr>
          <w:p>
            <w:pPr>
              <w:spacing w:before="0" w:after="0"/>
              <w:ind w:firstLine="0"/>
              <w:jc w:val="left"/>
            </w:pPr>
            <w:r>
              <w:rPr>
                <w:rFonts w:ascii="Times New Roman" w:hAnsi="Times New Roman"/>
                <w:sz w:val="22"/>
              </w:rPr>
              <w:t>1 (portofoliu plat de prosumatori)</w:t>
            </w:r>
          </w:p>
        </w:tc>
        <w:tc>
          <w:tcPr>
            <w:tcW w:type="dxa" w:w="1927"/>
          </w:tcPr>
          <w:p>
            <w:pPr>
              <w:spacing w:before="0" w:after="0"/>
              <w:ind w:firstLine="0"/>
              <w:jc w:val="left"/>
            </w:pPr>
            <w:r>
              <w:rPr>
                <w:rFonts w:ascii="Times New Roman" w:hAnsi="Times New Roman"/>
                <w:sz w:val="22"/>
              </w:rPr>
              <w:t>7 niveluri recursiv (N0 Modul → N6 Network); agregare bottom-up + directive top-down</w:t>
            </w:r>
          </w:p>
        </w:tc>
        <w:tc>
          <w:tcPr>
            <w:tcW w:type="dxa" w:w="1927"/>
          </w:tcPr>
          <w:p>
            <w:pPr>
              <w:spacing w:before="0" w:after="0"/>
              <w:ind w:firstLine="0"/>
              <w:jc w:val="left"/>
            </w:pPr>
            <w:r>
              <w:rPr>
                <w:rFonts w:ascii="Times New Roman" w:hAnsi="Times New Roman"/>
                <w:sz w:val="22"/>
              </w:rPr>
              <w:t>Emergență la fiecare nivel: proprietăți care nu există la scări inferioare (VPP, island mode, meta-rețea)</w:t>
            </w:r>
          </w:p>
        </w:tc>
      </w:tr>
      <w:tr>
        <w:tc>
          <w:tcPr>
            <w:tcW w:type="dxa" w:w="1927"/>
          </w:tcPr>
          <w:p>
            <w:pPr>
              <w:spacing w:before="0" w:after="0"/>
              <w:ind w:firstLine="0"/>
              <w:jc w:val="left"/>
            </w:pPr>
            <w:r>
              <w:rPr>
                <w:rFonts w:ascii="Times New Roman" w:hAnsi="Times New Roman"/>
                <w:sz w:val="22"/>
              </w:rPr>
              <w:t>Stocarea termică (5–10× mai ieftină/kWh vs. electrică)</w:t>
            </w:r>
          </w:p>
        </w:tc>
        <w:tc>
          <w:tcPr>
            <w:tcW w:type="dxa" w:w="1927"/>
          </w:tcPr>
          <w:p>
            <w:pPr>
              <w:spacing w:before="0" w:after="0"/>
              <w:ind w:firstLine="0"/>
              <w:jc w:val="left"/>
            </w:pPr>
            <w:r>
              <w:rPr>
                <w:rFonts w:ascii="Times New Roman" w:hAnsi="Times New Roman"/>
                <w:sz w:val="22"/>
              </w:rPr>
              <w:t>IGNORATĂ — invizibilă în modelul de optimizare</w:t>
            </w:r>
          </w:p>
        </w:tc>
        <w:tc>
          <w:tcPr>
            <w:tcW w:type="dxa" w:w="1927"/>
          </w:tcPr>
          <w:p>
            <w:pPr>
              <w:spacing w:before="0" w:after="0"/>
              <w:ind w:firstLine="0"/>
              <w:jc w:val="left"/>
            </w:pPr>
            <w:r>
              <w:rPr>
                <w:rFonts w:ascii="Times New Roman" w:hAnsi="Times New Roman"/>
                <w:sz w:val="22"/>
              </w:rPr>
              <w:t>Agregată stratificat pe 3 niveluri T; arbitraj temporal termic; PCM + masă termică clădiri</w:t>
            </w:r>
          </w:p>
        </w:tc>
        <w:tc>
          <w:tcPr>
            <w:tcW w:type="dxa" w:w="1927"/>
          </w:tcPr>
          <w:p>
            <w:pPr>
              <w:spacing w:before="0" w:after="0"/>
              <w:ind w:firstLine="0"/>
              <w:jc w:val="left"/>
            </w:pPr>
            <w:r>
              <w:rPr>
                <w:rFonts w:ascii="Times New Roman" w:hAnsi="Times New Roman"/>
                <w:sz w:val="22"/>
              </w:rPr>
              <w:t>Arbitraj termic economic: stocare noapte la cost marginal 0 → livrare zi la cost evitat 80–150 EUR/MWh_th</w:t>
            </w:r>
          </w:p>
        </w:tc>
      </w:tr>
      <w:tr>
        <w:tc>
          <w:tcPr>
            <w:tcW w:type="dxa" w:w="1927"/>
          </w:tcPr>
          <w:p>
            <w:pPr>
              <w:spacing w:before="0" w:after="0"/>
              <w:ind w:firstLine="0"/>
              <w:jc w:val="left"/>
            </w:pPr>
            <w:r>
              <w:rPr>
                <w:rFonts w:ascii="Times New Roman" w:hAnsi="Times New Roman"/>
                <w:sz w:val="22"/>
              </w:rPr>
              <w:t>Flexibilitate (surse disponibile)</w:t>
            </w:r>
          </w:p>
        </w:tc>
        <w:tc>
          <w:tcPr>
            <w:tcW w:type="dxa" w:w="1927"/>
          </w:tcPr>
          <w:p>
            <w:pPr>
              <w:spacing w:before="0" w:after="0"/>
              <w:ind w:firstLine="0"/>
              <w:jc w:val="left"/>
            </w:pPr>
            <w:r>
              <w:rPr>
                <w:rFonts w:ascii="Times New Roman" w:hAnsi="Times New Roman"/>
                <w:sz w:val="22"/>
              </w:rPr>
              <w:t>Baterii electrice + DR electric</w:t>
            </w:r>
          </w:p>
        </w:tc>
        <w:tc>
          <w:tcPr>
            <w:tcW w:type="dxa" w:w="1927"/>
          </w:tcPr>
          <w:p>
            <w:pPr>
              <w:spacing w:before="0" w:after="0"/>
              <w:ind w:firstLine="0"/>
              <w:jc w:val="left"/>
            </w:pPr>
            <w:r>
              <w:rPr>
                <w:rFonts w:ascii="Times New Roman" w:hAnsi="Times New Roman"/>
                <w:sz w:val="22"/>
              </w:rPr>
              <w:t>Baterii + V2G + mase termice + H₂ + SynTech dispatchable + pompe căldură</w:t>
            </w:r>
          </w:p>
        </w:tc>
        <w:tc>
          <w:tcPr>
            <w:tcW w:type="dxa" w:w="1927"/>
          </w:tcPr>
          <w:p>
            <w:pPr>
              <w:spacing w:before="0" w:after="0"/>
              <w:ind w:firstLine="0"/>
              <w:jc w:val="left"/>
            </w:pPr>
            <w:r>
              <w:rPr>
                <w:rFonts w:ascii="Times New Roman" w:hAnsi="Times New Roman"/>
                <w:sz w:val="22"/>
              </w:rPr>
              <w:t>×4–6 capacitate de flexibilitate ofertabilă pe piața de echilibrare ANRE (venituri suplimentare)</w:t>
            </w:r>
          </w:p>
        </w:tc>
      </w:tr>
      <w:tr>
        <w:tc>
          <w:tcPr>
            <w:tcW w:type="dxa" w:w="1927"/>
          </w:tcPr>
          <w:p>
            <w:pPr>
              <w:spacing w:before="0" w:after="0"/>
              <w:ind w:firstLine="0"/>
              <w:jc w:val="left"/>
            </w:pPr>
            <w:r>
              <w:rPr>
                <w:rFonts w:ascii="Times New Roman" w:hAnsi="Times New Roman"/>
                <w:sz w:val="22"/>
              </w:rPr>
              <w:t>Combustibili regenerabili (SRF, biomasă, H₂)</w:t>
            </w:r>
          </w:p>
        </w:tc>
        <w:tc>
          <w:tcPr>
            <w:tcW w:type="dxa" w:w="1927"/>
          </w:tcPr>
          <w:p>
            <w:pPr>
              <w:spacing w:before="0" w:after="0"/>
              <w:ind w:firstLine="0"/>
              <w:jc w:val="left"/>
            </w:pPr>
            <w:r>
              <w:rPr>
                <w:rFonts w:ascii="Times New Roman" w:hAnsi="Times New Roman"/>
                <w:sz w:val="22"/>
              </w:rPr>
              <w:t>NU SUNT AGREGAȚI — dincolo de domeniu</w:t>
            </w:r>
          </w:p>
        </w:tc>
        <w:tc>
          <w:tcPr>
            <w:tcW w:type="dxa" w:w="1927"/>
          </w:tcPr>
          <w:p>
            <w:pPr>
              <w:spacing w:before="0" w:after="0"/>
              <w:ind w:firstLine="0"/>
              <w:jc w:val="left"/>
            </w:pPr>
            <w:r>
              <w:rPr>
                <w:rFonts w:ascii="Times New Roman" w:hAnsi="Times New Roman"/>
                <w:sz w:val="22"/>
              </w:rPr>
              <w:t>Programare optimă stocuri SRF/biomasă/H₂; matching cu CHP; previziune umiditate/PCI</w:t>
            </w:r>
          </w:p>
        </w:tc>
        <w:tc>
          <w:tcPr>
            <w:tcW w:type="dxa" w:w="1927"/>
          </w:tcPr>
          <w:p>
            <w:pPr>
              <w:spacing w:before="0" w:after="0"/>
              <w:ind w:firstLine="0"/>
              <w:jc w:val="left"/>
            </w:pPr>
            <w:r>
              <w:rPr>
                <w:rFonts w:ascii="Times New Roman" w:hAnsi="Times New Roman"/>
                <w:sz w:val="22"/>
              </w:rPr>
              <w:t>Eficiență CHP crescută 5–12% prin combustibil calitate optimizată; reducere downtime non-planificat</w:t>
            </w:r>
          </w:p>
        </w:tc>
      </w:tr>
      <w:tr>
        <w:tc>
          <w:tcPr>
            <w:tcW w:type="dxa" w:w="1927"/>
          </w:tcPr>
          <w:p>
            <w:pPr>
              <w:spacing w:before="0" w:after="0"/>
              <w:ind w:firstLine="0"/>
              <w:jc w:val="left"/>
            </w:pPr>
            <w:r>
              <w:rPr>
                <w:rFonts w:ascii="Times New Roman" w:hAnsi="Times New Roman"/>
                <w:sz w:val="22"/>
              </w:rPr>
              <w:t>Piețe operate simultan</w:t>
            </w:r>
          </w:p>
        </w:tc>
        <w:tc>
          <w:tcPr>
            <w:tcW w:type="dxa" w:w="1927"/>
          </w:tcPr>
          <w:p>
            <w:pPr>
              <w:spacing w:before="0" w:after="0"/>
              <w:ind w:firstLine="0"/>
              <w:jc w:val="left"/>
            </w:pPr>
            <w:r>
              <w:rPr>
                <w:rFonts w:ascii="Times New Roman" w:hAnsi="Times New Roman"/>
                <w:sz w:val="22"/>
              </w:rPr>
              <w:t>1 (OPCOM spot sau echilibrare)</w:t>
            </w:r>
          </w:p>
        </w:tc>
        <w:tc>
          <w:tcPr>
            <w:tcW w:type="dxa" w:w="1927"/>
          </w:tcPr>
          <w:p>
            <w:pPr>
              <w:spacing w:before="0" w:after="0"/>
              <w:ind w:firstLine="0"/>
              <w:jc w:val="left"/>
            </w:pPr>
            <w:r>
              <w:rPr>
                <w:rFonts w:ascii="Times New Roman" w:hAnsi="Times New Roman"/>
                <w:sz w:val="22"/>
              </w:rPr>
              <w:t>4+ piețe simultane: OPCOM spot + intraday + echilibrare + certificate verzi + ETS + piața tokeni</w:t>
            </w:r>
          </w:p>
        </w:tc>
        <w:tc>
          <w:tcPr>
            <w:tcW w:type="dxa" w:w="1927"/>
          </w:tcPr>
          <w:p>
            <w:pPr>
              <w:spacing w:before="0" w:after="0"/>
              <w:ind w:firstLine="0"/>
              <w:jc w:val="left"/>
            </w:pPr>
            <w:r>
              <w:rPr>
                <w:rFonts w:ascii="Times New Roman" w:hAnsi="Times New Roman"/>
                <w:sz w:val="22"/>
              </w:rPr>
              <w:t>Revenue stacking: venituri combinate ≥20–30% față de operare exclusiv piața spot electrică</w:t>
            </w:r>
          </w:p>
        </w:tc>
      </w:tr>
      <w:tr>
        <w:tc>
          <w:tcPr>
            <w:tcW w:type="dxa" w:w="1927"/>
          </w:tcPr>
          <w:p>
            <w:pPr>
              <w:spacing w:before="0" w:after="0"/>
              <w:ind w:firstLine="0"/>
              <w:jc w:val="left"/>
            </w:pPr>
            <w:r>
              <w:rPr>
                <w:rFonts w:ascii="Times New Roman" w:hAnsi="Times New Roman"/>
                <w:sz w:val="22"/>
              </w:rPr>
              <w:t>Transparență și participare cetățeni</w:t>
            </w:r>
          </w:p>
        </w:tc>
        <w:tc>
          <w:tcPr>
            <w:tcW w:type="dxa" w:w="1927"/>
          </w:tcPr>
          <w:p>
            <w:pPr>
              <w:spacing w:before="0" w:after="0"/>
              <w:ind w:firstLine="0"/>
              <w:jc w:val="left"/>
            </w:pPr>
            <w:r>
              <w:rPr>
                <w:rFonts w:ascii="Times New Roman" w:hAnsi="Times New Roman"/>
                <w:sz w:val="22"/>
              </w:rPr>
              <w:t>Cutie neagră — cetățenii nu înțeleg deciziile</w:t>
            </w:r>
          </w:p>
        </w:tc>
        <w:tc>
          <w:tcPr>
            <w:tcW w:type="dxa" w:w="1927"/>
          </w:tcPr>
          <w:p>
            <w:pPr>
              <w:spacing w:before="0" w:after="0"/>
              <w:ind w:firstLine="0"/>
              <w:jc w:val="left"/>
            </w:pPr>
            <w:r>
              <w:rPr>
                <w:rFonts w:ascii="Times New Roman" w:hAnsi="Times New Roman"/>
                <w:sz w:val="22"/>
              </w:rPr>
              <w:t>100% transparență: fiecare decizie AI explicabilă în App; cetățenii votează ponderi funcție obiectiv</w:t>
            </w:r>
          </w:p>
        </w:tc>
        <w:tc>
          <w:tcPr>
            <w:tcW w:type="dxa" w:w="1927"/>
          </w:tcPr>
          <w:p>
            <w:pPr>
              <w:spacing w:before="0" w:after="0"/>
              <w:ind w:firstLine="0"/>
              <w:jc w:val="left"/>
            </w:pPr>
            <w:r>
              <w:rPr>
                <w:rFonts w:ascii="Times New Roman" w:hAnsi="Times New Roman"/>
                <w:sz w:val="22"/>
              </w:rPr>
              <w:t>Participare &gt;30% vs. &lt;5% la agregatoarele clasice; SolidarityX integrat ca hard constraint social</w:t>
            </w:r>
          </w:p>
        </w:tc>
      </w:tr>
      <w:tr>
        <w:tc>
          <w:tcPr>
            <w:tcW w:type="dxa" w:w="1927"/>
          </w:tcPr>
          <w:p>
            <w:pPr>
              <w:spacing w:before="0" w:after="0"/>
              <w:ind w:firstLine="0"/>
              <w:jc w:val="left"/>
            </w:pPr>
            <w:r>
              <w:rPr>
                <w:rFonts w:ascii="Times New Roman" w:hAnsi="Times New Roman"/>
                <w:sz w:val="22"/>
              </w:rPr>
              <w:t>Circularitate (deșeuri → energie → biochar → sol)</w:t>
            </w:r>
          </w:p>
        </w:tc>
        <w:tc>
          <w:tcPr>
            <w:tcW w:type="dxa" w:w="1927"/>
          </w:tcPr>
          <w:p>
            <w:pPr>
              <w:spacing w:before="0" w:after="0"/>
              <w:ind w:firstLine="0"/>
              <w:jc w:val="left"/>
            </w:pPr>
            <w:r>
              <w:rPr>
                <w:rFonts w:ascii="Times New Roman" w:hAnsi="Times New Roman"/>
                <w:sz w:val="22"/>
              </w:rPr>
              <w:t>INEXISTENTĂ în model</w:t>
            </w:r>
          </w:p>
        </w:tc>
        <w:tc>
          <w:tcPr>
            <w:tcW w:type="dxa" w:w="1927"/>
          </w:tcPr>
          <w:p>
            <w:pPr>
              <w:spacing w:before="0" w:after="0"/>
              <w:ind w:firstLine="0"/>
              <w:jc w:val="left"/>
            </w:pPr>
            <w:r>
              <w:rPr>
                <w:rFonts w:ascii="Times New Roman" w:hAnsi="Times New Roman"/>
                <w:sz w:val="22"/>
              </w:rPr>
              <w:t>Lantul complet ReFuel→SynTech→ReCarbon agregat și optimizat holistic</w:t>
            </w:r>
          </w:p>
        </w:tc>
        <w:tc>
          <w:tcPr>
            <w:tcW w:type="dxa" w:w="1927"/>
          </w:tcPr>
          <w:p>
            <w:pPr>
              <w:spacing w:before="0" w:after="0"/>
              <w:ind w:firstLine="0"/>
              <w:jc w:val="left"/>
            </w:pPr>
            <w:r>
              <w:rPr>
                <w:rFonts w:ascii="Times New Roman" w:hAnsi="Times New Roman"/>
                <w:sz w:val="22"/>
              </w:rPr>
              <w:t>Carbon negativitate la nivel de comunitate: sechestrare ≥50 tCO₂/an per HUB; CRCF eligibil</w:t>
            </w:r>
          </w:p>
        </w:tc>
      </w:tr>
      <w:tr>
        <w:tc>
          <w:tcPr>
            <w:tcW w:type="dxa" w:w="1927"/>
          </w:tcPr>
          <w:p>
            <w:pPr>
              <w:spacing w:before="0" w:after="0"/>
              <w:ind w:firstLine="0"/>
              <w:jc w:val="left"/>
            </w:pPr>
            <w:r>
              <w:rPr>
                <w:rFonts w:ascii="Times New Roman" w:hAnsi="Times New Roman"/>
                <w:sz w:val="22"/>
              </w:rPr>
              <w:t>Inteligență artificială utilizată</w:t>
            </w:r>
          </w:p>
        </w:tc>
        <w:tc>
          <w:tcPr>
            <w:tcW w:type="dxa" w:w="1927"/>
          </w:tcPr>
          <w:p>
            <w:pPr>
              <w:spacing w:before="0" w:after="0"/>
              <w:ind w:firstLine="0"/>
              <w:jc w:val="left"/>
            </w:pPr>
            <w:r>
              <w:rPr>
                <w:rFonts w:ascii="Times New Roman" w:hAnsi="Times New Roman"/>
                <w:sz w:val="22"/>
              </w:rPr>
              <w:t>Algoritmi simpli (rule-based) sau ML basic (1 model)</w:t>
            </w:r>
          </w:p>
        </w:tc>
        <w:tc>
          <w:tcPr>
            <w:tcW w:type="dxa" w:w="1927"/>
          </w:tcPr>
          <w:p>
            <w:pPr>
              <w:spacing w:before="0" w:after="0"/>
              <w:ind w:firstLine="0"/>
              <w:jc w:val="left"/>
            </w:pPr>
            <w:r>
              <w:rPr>
                <w:rFonts w:ascii="Times New Roman" w:hAnsi="Times New Roman"/>
                <w:sz w:val="22"/>
              </w:rPr>
              <w:t>Stivă AI pe 4 niveluri: PID/fuzzy (real-time) + LSTM/GRU/RF (predictiv) + MILP+RL (optimizare) + Digital Twin+MC (strategic)</w:t>
            </w:r>
          </w:p>
        </w:tc>
        <w:tc>
          <w:tcPr>
            <w:tcW w:type="dxa" w:w="1927"/>
          </w:tcPr>
          <w:p>
            <w:pPr>
              <w:spacing w:before="0" w:after="0"/>
              <w:ind w:firstLine="0"/>
              <w:jc w:val="left"/>
            </w:pPr>
            <w:r>
              <w:rPr>
                <w:rFonts w:ascii="Times New Roman" w:hAnsi="Times New Roman"/>
                <w:sz w:val="22"/>
              </w:rPr>
              <w:t>Holistic Optimality Gap ≤5% față de optim teoretic vs. ≥25–40% pentru agregatoarele clasice</w:t>
            </w:r>
          </w:p>
        </w:tc>
      </w:tr>
      <w:tr>
        <w:tc>
          <w:tcPr>
            <w:tcW w:type="dxa" w:w="1927"/>
          </w:tcPr>
          <w:p>
            <w:pPr>
              <w:spacing w:before="0" w:after="0"/>
              <w:ind w:firstLine="0"/>
              <w:jc w:val="left"/>
            </w:pPr>
            <w:r>
              <w:rPr>
                <w:rFonts w:ascii="Times New Roman" w:hAnsi="Times New Roman"/>
                <w:sz w:val="22"/>
              </w:rPr>
              <w:t>Model de proprietate și guvernanță</w:t>
            </w:r>
          </w:p>
        </w:tc>
        <w:tc>
          <w:tcPr>
            <w:tcW w:type="dxa" w:w="1927"/>
          </w:tcPr>
          <w:p>
            <w:pPr>
              <w:spacing w:before="0" w:after="0"/>
              <w:ind w:firstLine="0"/>
              <w:jc w:val="left"/>
            </w:pPr>
            <w:r>
              <w:rPr>
                <w:rFonts w:ascii="Times New Roman" w:hAnsi="Times New Roman"/>
                <w:sz w:val="22"/>
              </w:rPr>
              <w:t>Corporație privată (profit maximizat)</w:t>
            </w:r>
          </w:p>
        </w:tc>
        <w:tc>
          <w:tcPr>
            <w:tcW w:type="dxa" w:w="1927"/>
          </w:tcPr>
          <w:p>
            <w:pPr>
              <w:spacing w:before="0" w:after="0"/>
              <w:ind w:firstLine="0"/>
              <w:jc w:val="left"/>
            </w:pPr>
            <w:r>
              <w:rPr>
                <w:rFonts w:ascii="Times New Roman" w:hAnsi="Times New Roman"/>
                <w:sz w:val="22"/>
              </w:rPr>
              <w:t>Cooperativă energetică democratică (Coop) + ESCO + PBC + LTBT; proprietate comunitară integrală</w:t>
            </w:r>
          </w:p>
        </w:tc>
        <w:tc>
          <w:tcPr>
            <w:tcW w:type="dxa" w:w="1927"/>
          </w:tcPr>
          <w:p>
            <w:pPr>
              <w:spacing w:before="0" w:after="0"/>
              <w:ind w:firstLine="0"/>
              <w:jc w:val="left"/>
            </w:pPr>
            <w:r>
              <w:rPr>
                <w:rFonts w:ascii="Times New Roman" w:hAnsi="Times New Roman"/>
                <w:sz w:val="22"/>
              </w:rPr>
              <w:t>Venituri repatriate în comunitate; EPI (sărăcie energetică) &lt;5% vs. 15–20% status quo România</w:t>
            </w:r>
          </w:p>
        </w:tc>
      </w:tr>
    </w:tbl>
    <w:p>
      <w:pPr>
        <w:ind w:firstLine="0"/>
      </w:pPr>
    </w:p>
    <w:p>
      <w:pPr>
        <w:pStyle w:val="TableCaption"/>
      </w:pPr>
      <w:r>
        <w:t>Tabel 15. Analiză comparativă structurată EHA vs. Agregator Convențional pe 12 criterii. Valorile cantitative sunt estimate pe baza datelor din Model Spec EHA V1 și Raport Analiză Multicriterială DH V3, EnEx Institute 2025–2026; confirmarea empirică necesită date din instalații pilot 2026–2027. Sursă: elaborare proprie.</w:t>
      </w:r>
    </w:p>
    <w:p>
      <w:pPr>
        <w:ind w:firstLine="0"/>
      </w:pPr>
    </w:p>
    <w:p>
      <w:pPr>
        <w:pStyle w:val="SubHeading"/>
        <w:keepNext/>
      </w:pPr>
      <w:r>
        <w:t>4.2 Sinergii exergetice inter-vectoriale — valoarea creată la intersecție</w:t>
      </w:r>
    </w:p>
    <w:p>
      <w:pPr>
        <w:ind w:firstLine="0"/>
      </w:pPr>
    </w:p>
    <w:p>
      <w:pPr/>
      <w:r>
        <w:t>Una dintre contribuțiile originale ale EHA față de agregatoarele clasice este capacitatea de a identifica și valorifica sinergii exergetice care există exclusiv la intersecția a doi sau mai mulți vectori — și care sunt invizibile în orice model mono-vector. Tabelul 5 prezintă șapte astfel de simbioze cu mecanismul și valoarea creată:</w:t>
      </w:r>
    </w:p>
    <w:p>
      <w:pPr/>
      <w:r>
        <w:t>Simbiozele exergetice și valorile create prin conversii multi-vector sunt prezentate în Tabelul 16.</w:t>
      </w:r>
    </w:p>
    <w:p>
      <w:pPr>
        <w:ind w:firstLine="0"/>
      </w:pPr>
    </w:p>
    <w:p>
      <w:pPr>
        <w:pStyle w:val="TableCaption"/>
      </w:pPr>
      <w:r>
        <w:t>Tabel 16. Simbioze exergetice și valorile create prin conversii multi-vector</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Simbioză Exergetică</w:t>
            </w:r>
          </w:p>
        </w:tc>
        <w:tc>
          <w:tcPr>
            <w:tcW w:type="dxa" w:w="1542"/>
          </w:tcPr>
          <w:p>
            <w:pPr>
              <w:spacing w:before="0" w:after="0"/>
              <w:ind w:firstLine="0"/>
              <w:jc w:val="left"/>
            </w:pPr>
            <w:r>
              <w:rPr>
                <w:rFonts w:ascii="Times New Roman" w:hAnsi="Times New Roman"/>
                <w:b/>
                <w:sz w:val="22"/>
              </w:rPr>
              <w:t>Vector sursă</w:t>
            </w:r>
          </w:p>
        </w:tc>
        <w:tc>
          <w:tcPr>
            <w:tcW w:type="dxa" w:w="1542"/>
          </w:tcPr>
          <w:p>
            <w:pPr>
              <w:spacing w:before="0" w:after="0"/>
              <w:ind w:firstLine="0"/>
              <w:jc w:val="left"/>
            </w:pPr>
            <w:r>
              <w:rPr>
                <w:rFonts w:ascii="Times New Roman" w:hAnsi="Times New Roman"/>
                <w:b/>
                <w:sz w:val="22"/>
              </w:rPr>
              <w:t>Vector destinație</w:t>
            </w:r>
          </w:p>
        </w:tc>
        <w:tc>
          <w:tcPr>
            <w:tcW w:type="dxa" w:w="1542"/>
          </w:tcPr>
          <w:p>
            <w:pPr>
              <w:spacing w:before="0" w:after="0"/>
              <w:ind w:firstLine="0"/>
              <w:jc w:val="left"/>
            </w:pPr>
            <w:r>
              <w:rPr>
                <w:rFonts w:ascii="Times New Roman" w:hAnsi="Times New Roman"/>
                <w:b/>
                <w:sz w:val="22"/>
              </w:rPr>
              <w:t>Eficiență conversie</w:t>
            </w:r>
          </w:p>
        </w:tc>
        <w:tc>
          <w:tcPr>
            <w:tcW w:type="dxa" w:w="1542"/>
          </w:tcPr>
          <w:p>
            <w:pPr>
              <w:spacing w:before="0" w:after="0"/>
              <w:ind w:firstLine="0"/>
              <w:jc w:val="left"/>
            </w:pPr>
            <w:r>
              <w:rPr>
                <w:rFonts w:ascii="Times New Roman" w:hAnsi="Times New Roman"/>
                <w:b/>
                <w:sz w:val="22"/>
              </w:rPr>
              <w:t>Valoare creată și imposibilitate în mono-vector</w:t>
            </w:r>
          </w:p>
        </w:tc>
      </w:tr>
      <w:tr>
        <w:tc>
          <w:tcPr>
            <w:tcW w:type="dxa" w:w="1542"/>
          </w:tcPr>
          <w:p>
            <w:pPr>
              <w:spacing w:before="0" w:after="0"/>
              <w:ind w:firstLine="0"/>
              <w:jc w:val="left"/>
            </w:pPr>
            <w:r>
              <w:rPr>
                <w:rFonts w:ascii="Times New Roman" w:hAnsi="Times New Roman"/>
                <w:sz w:val="22"/>
              </w:rPr>
              <w:t>SY-01: CHP termic → frig absorbție</w:t>
            </w:r>
          </w:p>
        </w:tc>
        <w:tc>
          <w:tcPr>
            <w:tcW w:type="dxa" w:w="1542"/>
          </w:tcPr>
          <w:p>
            <w:pPr>
              <w:spacing w:before="0" w:after="0"/>
              <w:ind w:firstLine="0"/>
              <w:jc w:val="left"/>
            </w:pPr>
            <w:r>
              <w:rPr>
                <w:rFonts w:ascii="Times New Roman" w:hAnsi="Times New Roman"/>
                <w:sz w:val="22"/>
              </w:rPr>
              <w:t>Termic N1 (90°C) CHP SynTech</w:t>
            </w:r>
          </w:p>
        </w:tc>
        <w:tc>
          <w:tcPr>
            <w:tcW w:type="dxa" w:w="1542"/>
          </w:tcPr>
          <w:p>
            <w:pPr>
              <w:spacing w:before="0" w:after="0"/>
              <w:ind w:firstLine="0"/>
              <w:jc w:val="left"/>
            </w:pPr>
            <w:r>
              <w:rPr>
                <w:rFonts w:ascii="Times New Roman" w:hAnsi="Times New Roman"/>
                <w:sz w:val="22"/>
              </w:rPr>
              <w:t>Frigorific (&lt;15°C) absorbție</w:t>
            </w:r>
          </w:p>
        </w:tc>
        <w:tc>
          <w:tcPr>
            <w:tcW w:type="dxa" w:w="1542"/>
          </w:tcPr>
          <w:p>
            <w:pPr>
              <w:spacing w:before="0" w:after="0"/>
              <w:ind w:firstLine="0"/>
              <w:jc w:val="left"/>
            </w:pPr>
            <w:r>
              <w:rPr>
                <w:rFonts w:ascii="Times New Roman" w:hAnsi="Times New Roman"/>
                <w:sz w:val="22"/>
              </w:rPr>
              <w:t>COP_absorbție ≈ 0.7–1.2; frig la cost termic</w:t>
            </w:r>
          </w:p>
        </w:tc>
        <w:tc>
          <w:tcPr>
            <w:tcW w:type="dxa" w:w="1542"/>
          </w:tcPr>
          <w:p>
            <w:pPr>
              <w:spacing w:before="0" w:after="0"/>
              <w:ind w:firstLine="0"/>
              <w:jc w:val="left"/>
            </w:pPr>
            <w:r>
              <w:rPr>
                <w:rFonts w:ascii="Times New Roman" w:hAnsi="Times New Roman"/>
                <w:sz w:val="22"/>
              </w:rPr>
              <w:t>Elimină chillerul electric (150–300 kWe economisiți); răcire vara din căldura de vară a CHP-ului — PARADOX profitabil imposibil de detectat în model electric-only</w:t>
            </w:r>
          </w:p>
        </w:tc>
      </w:tr>
      <w:tr>
        <w:tc>
          <w:tcPr>
            <w:tcW w:type="dxa" w:w="1542"/>
          </w:tcPr>
          <w:p>
            <w:pPr>
              <w:spacing w:before="0" w:after="0"/>
              <w:ind w:firstLine="0"/>
              <w:jc w:val="left"/>
            </w:pPr>
            <w:r>
              <w:rPr>
                <w:rFonts w:ascii="Times New Roman" w:hAnsi="Times New Roman"/>
                <w:sz w:val="22"/>
              </w:rPr>
              <w:t>SY-02: Cascadă N1→N2→N3→N4</w:t>
            </w:r>
          </w:p>
        </w:tc>
        <w:tc>
          <w:tcPr>
            <w:tcW w:type="dxa" w:w="1542"/>
          </w:tcPr>
          <w:p>
            <w:pPr>
              <w:spacing w:before="0" w:after="0"/>
              <w:ind w:firstLine="0"/>
              <w:jc w:val="left"/>
            </w:pPr>
            <w:r>
              <w:rPr>
                <w:rFonts w:ascii="Times New Roman" w:hAnsi="Times New Roman"/>
                <w:sz w:val="22"/>
              </w:rPr>
              <w:t>Termic N1 (90°C)</w:t>
            </w:r>
          </w:p>
        </w:tc>
        <w:tc>
          <w:tcPr>
            <w:tcW w:type="dxa" w:w="1542"/>
          </w:tcPr>
          <w:p>
            <w:pPr>
              <w:spacing w:before="0" w:after="0"/>
              <w:ind w:firstLine="0"/>
              <w:jc w:val="left"/>
            </w:pPr>
            <w:r>
              <w:rPr>
                <w:rFonts w:ascii="Times New Roman" w:hAnsi="Times New Roman"/>
                <w:sz w:val="22"/>
              </w:rPr>
              <w:t>Termic N2 → N3 → upgrade PC</w:t>
            </w:r>
          </w:p>
        </w:tc>
        <w:tc>
          <w:tcPr>
            <w:tcW w:type="dxa" w:w="1542"/>
          </w:tcPr>
          <w:p>
            <w:pPr>
              <w:spacing w:before="0" w:after="0"/>
              <w:ind w:firstLine="0"/>
              <w:jc w:val="left"/>
            </w:pPr>
            <w:r>
              <w:rPr>
                <w:rFonts w:ascii="Times New Roman" w:hAnsi="Times New Roman"/>
                <w:sz w:val="22"/>
              </w:rPr>
              <w:t>η_cascadă = 85–92%</w:t>
            </w:r>
          </w:p>
        </w:tc>
        <w:tc>
          <w:tcPr>
            <w:tcW w:type="dxa" w:w="1542"/>
          </w:tcPr>
          <w:p>
            <w:pPr>
              <w:spacing w:before="0" w:after="0"/>
              <w:ind w:firstLine="0"/>
              <w:jc w:val="left"/>
            </w:pPr>
            <w:r>
              <w:rPr>
                <w:rFonts w:ascii="Times New Roman" w:hAnsi="Times New Roman"/>
                <w:sz w:val="22"/>
              </w:rPr>
              <w:t>Utilizarea succesivă a aceluiași kWh termic pentru 3 aplicații diferite de temperatură; multiplicator valoare 2.5–3.5×; QMF_net ≥0.80</w:t>
            </w:r>
          </w:p>
        </w:tc>
      </w:tr>
      <w:tr>
        <w:tc>
          <w:tcPr>
            <w:tcW w:type="dxa" w:w="1542"/>
          </w:tcPr>
          <w:p>
            <w:pPr>
              <w:spacing w:before="0" w:after="0"/>
              <w:ind w:firstLine="0"/>
              <w:jc w:val="left"/>
            </w:pPr>
            <w:r>
              <w:rPr>
                <w:rFonts w:ascii="Times New Roman" w:hAnsi="Times New Roman"/>
                <w:sz w:val="22"/>
              </w:rPr>
              <w:t>SY-03: Surplus FV → H₂ → stoc sezonier</w:t>
            </w:r>
          </w:p>
        </w:tc>
        <w:tc>
          <w:tcPr>
            <w:tcW w:type="dxa" w:w="1542"/>
          </w:tcPr>
          <w:p>
            <w:pPr>
              <w:spacing w:before="0" w:after="0"/>
              <w:ind w:firstLine="0"/>
              <w:jc w:val="left"/>
            </w:pPr>
            <w:r>
              <w:rPr>
                <w:rFonts w:ascii="Times New Roman" w:hAnsi="Times New Roman"/>
                <w:sz w:val="22"/>
              </w:rPr>
              <w:t>Electric (surplus FV/eolian, preț &lt;40 €/MWh)</w:t>
            </w:r>
          </w:p>
        </w:tc>
        <w:tc>
          <w:tcPr>
            <w:tcW w:type="dxa" w:w="1542"/>
          </w:tcPr>
          <w:p>
            <w:pPr>
              <w:spacing w:before="0" w:after="0"/>
              <w:ind w:firstLine="0"/>
              <w:jc w:val="left"/>
            </w:pPr>
            <w:r>
              <w:rPr>
                <w:rFonts w:ascii="Times New Roman" w:hAnsi="Times New Roman"/>
                <w:sz w:val="22"/>
              </w:rPr>
              <w:t>H₂ stocat (33.3 kWh/kgH₂) → reconvertit iarnă</w:t>
            </w:r>
          </w:p>
        </w:tc>
        <w:tc>
          <w:tcPr>
            <w:tcW w:type="dxa" w:w="1542"/>
          </w:tcPr>
          <w:p>
            <w:pPr>
              <w:spacing w:before="0" w:after="0"/>
              <w:ind w:firstLine="0"/>
              <w:jc w:val="left"/>
            </w:pPr>
            <w:r>
              <w:rPr>
                <w:rFonts w:ascii="Times New Roman" w:hAnsi="Times New Roman"/>
                <w:sz w:val="22"/>
              </w:rPr>
              <w:t>η_roundtrip 55–65%; valoare stocată iarnă la 200–400 €/MWh</w:t>
            </w:r>
          </w:p>
        </w:tc>
        <w:tc>
          <w:tcPr>
            <w:tcW w:type="dxa" w:w="1542"/>
          </w:tcPr>
          <w:p>
            <w:pPr>
              <w:spacing w:before="0" w:after="0"/>
              <w:ind w:firstLine="0"/>
              <w:jc w:val="left"/>
            </w:pPr>
            <w:r>
              <w:rPr>
                <w:rFonts w:ascii="Times New Roman" w:hAnsi="Times New Roman"/>
                <w:sz w:val="22"/>
              </w:rPr>
              <w:t>Transformă surplus-ul de vară neutilizabil în capacitate de iarnă; imposibil de valorificat în model exclusiv electric fără modelarea vectorului H₂</w:t>
            </w:r>
          </w:p>
        </w:tc>
      </w:tr>
      <w:tr>
        <w:tc>
          <w:tcPr>
            <w:tcW w:type="dxa" w:w="1542"/>
          </w:tcPr>
          <w:p>
            <w:pPr>
              <w:spacing w:before="0" w:after="0"/>
              <w:ind w:firstLine="0"/>
              <w:jc w:val="left"/>
            </w:pPr>
            <w:r>
              <w:rPr>
                <w:rFonts w:ascii="Times New Roman" w:hAnsi="Times New Roman"/>
                <w:sz w:val="22"/>
              </w:rPr>
              <w:t>SY-04: SRF → CHP → biochar → carbon credit</w:t>
            </w:r>
          </w:p>
        </w:tc>
        <w:tc>
          <w:tcPr>
            <w:tcW w:type="dxa" w:w="1542"/>
          </w:tcPr>
          <w:p>
            <w:pPr>
              <w:spacing w:before="0" w:after="0"/>
              <w:ind w:firstLine="0"/>
              <w:jc w:val="left"/>
            </w:pPr>
            <w:r>
              <w:rPr>
                <w:rFonts w:ascii="Times New Roman" w:hAnsi="Times New Roman"/>
                <w:sz w:val="22"/>
              </w:rPr>
              <w:t>Combustibil SRF (EN 15359)</w:t>
            </w:r>
          </w:p>
        </w:tc>
        <w:tc>
          <w:tcPr>
            <w:tcW w:type="dxa" w:w="1542"/>
          </w:tcPr>
          <w:p>
            <w:pPr>
              <w:spacing w:before="0" w:after="0"/>
              <w:ind w:firstLine="0"/>
              <w:jc w:val="left"/>
            </w:pPr>
            <w:r>
              <w:rPr>
                <w:rFonts w:ascii="Times New Roman" w:hAnsi="Times New Roman"/>
                <w:sz w:val="22"/>
              </w:rPr>
              <w:t>Electric + Termic + Biochar ReCarbon → CO₂ sechestat</w:t>
            </w:r>
          </w:p>
        </w:tc>
        <w:tc>
          <w:tcPr>
            <w:tcW w:type="dxa" w:w="1542"/>
          </w:tcPr>
          <w:p>
            <w:pPr>
              <w:spacing w:before="0" w:after="0"/>
              <w:ind w:firstLine="0"/>
              <w:jc w:val="left"/>
            </w:pPr>
            <w:r>
              <w:rPr>
                <w:rFonts w:ascii="Times New Roman" w:hAnsi="Times New Roman"/>
                <w:sz w:val="22"/>
              </w:rPr>
              <w:t>CHP η_el 35–40%, η_th 45–50%; biochar 125–250 EUR/tCO₂</w:t>
            </w:r>
          </w:p>
        </w:tc>
        <w:tc>
          <w:tcPr>
            <w:tcW w:type="dxa" w:w="1542"/>
          </w:tcPr>
          <w:p>
            <w:pPr>
              <w:spacing w:before="0" w:after="0"/>
              <w:ind w:firstLine="0"/>
              <w:jc w:val="left"/>
            </w:pPr>
            <w:r>
              <w:rPr>
                <w:rFonts w:ascii="Times New Roman" w:hAnsi="Times New Roman"/>
                <w:sz w:val="22"/>
              </w:rPr>
              <w:t>Lantul complet creează 3 fluxuri de venituri simultane (kWh_el + kWh_th + carbon credit) din același combustibil; combinatorica imposibilă în model mono-vector</w:t>
            </w:r>
          </w:p>
        </w:tc>
      </w:tr>
      <w:tr>
        <w:tc>
          <w:tcPr>
            <w:tcW w:type="dxa" w:w="1542"/>
          </w:tcPr>
          <w:p>
            <w:pPr>
              <w:spacing w:before="0" w:after="0"/>
              <w:ind w:firstLine="0"/>
              <w:jc w:val="left"/>
            </w:pPr>
            <w:r>
              <w:rPr>
                <w:rFonts w:ascii="Times New Roman" w:hAnsi="Times New Roman"/>
                <w:sz w:val="22"/>
              </w:rPr>
              <w:t>SY-05: Masă termică clădiri → flexibilitate electrică</w:t>
            </w:r>
          </w:p>
        </w:tc>
        <w:tc>
          <w:tcPr>
            <w:tcW w:type="dxa" w:w="1542"/>
          </w:tcPr>
          <w:p>
            <w:pPr>
              <w:spacing w:before="0" w:after="0"/>
              <w:ind w:firstLine="0"/>
              <w:jc w:val="left"/>
            </w:pPr>
            <w:r>
              <w:rPr>
                <w:rFonts w:ascii="Times New Roman" w:hAnsi="Times New Roman"/>
                <w:sz w:val="22"/>
              </w:rPr>
              <w:t>Termic N2 (stocare pasivă clădiri încălzite/răcite anticipat)</w:t>
            </w:r>
          </w:p>
        </w:tc>
        <w:tc>
          <w:tcPr>
            <w:tcW w:type="dxa" w:w="1542"/>
          </w:tcPr>
          <w:p>
            <w:pPr>
              <w:spacing w:before="0" w:after="0"/>
              <w:ind w:firstLine="0"/>
              <w:jc w:val="left"/>
            </w:pPr>
            <w:r>
              <w:rPr>
                <w:rFonts w:ascii="Times New Roman" w:hAnsi="Times New Roman"/>
                <w:sz w:val="22"/>
              </w:rPr>
              <w:t>Flexibilitate electrică (DR: reducere consum PC/AC)</w:t>
            </w:r>
          </w:p>
        </w:tc>
        <w:tc>
          <w:tcPr>
            <w:tcW w:type="dxa" w:w="1542"/>
          </w:tcPr>
          <w:p>
            <w:pPr>
              <w:spacing w:before="0" w:after="0"/>
              <w:ind w:firstLine="0"/>
              <w:jc w:val="left"/>
            </w:pPr>
            <w:r>
              <w:rPr>
                <w:rFonts w:ascii="Times New Roman" w:hAnsi="Times New Roman"/>
                <w:sz w:val="22"/>
              </w:rPr>
              <w:t>η_DR_termic = 100% (fără pierdere); durata 2–6h</w:t>
            </w:r>
          </w:p>
        </w:tc>
        <w:tc>
          <w:tcPr>
            <w:tcW w:type="dxa" w:w="1542"/>
          </w:tcPr>
          <w:p>
            <w:pPr>
              <w:spacing w:before="0" w:after="0"/>
              <w:ind w:firstLine="0"/>
              <w:jc w:val="left"/>
            </w:pPr>
            <w:r>
              <w:rPr>
                <w:rFonts w:ascii="Times New Roman" w:hAnsi="Times New Roman"/>
                <w:sz w:val="22"/>
              </w:rPr>
              <w:t>Clădirile devin baterii termice gratuite: preîncălzire la ore ieftine OPCOM → oprire PC/AC la ore scumpe; capacitate DR 3–5× mai mare față de DR pur electric</w:t>
            </w:r>
          </w:p>
        </w:tc>
      </w:tr>
      <w:tr>
        <w:tc>
          <w:tcPr>
            <w:tcW w:type="dxa" w:w="1542"/>
          </w:tcPr>
          <w:p>
            <w:pPr>
              <w:spacing w:before="0" w:after="0"/>
              <w:ind w:firstLine="0"/>
              <w:jc w:val="left"/>
            </w:pPr>
            <w:r>
              <w:rPr>
                <w:rFonts w:ascii="Times New Roman" w:hAnsi="Times New Roman"/>
                <w:sz w:val="22"/>
              </w:rPr>
              <w:t>SY-06: V2G → echilibrare + regenerare baterie</w:t>
            </w:r>
          </w:p>
        </w:tc>
        <w:tc>
          <w:tcPr>
            <w:tcW w:type="dxa" w:w="1542"/>
          </w:tcPr>
          <w:p>
            <w:pPr>
              <w:spacing w:before="0" w:after="0"/>
              <w:ind w:firstLine="0"/>
              <w:jc w:val="left"/>
            </w:pPr>
            <w:r>
              <w:rPr>
                <w:rFonts w:ascii="Times New Roman" w:hAnsi="Times New Roman"/>
                <w:sz w:val="22"/>
              </w:rPr>
              <w:t>Electric EV (V2G descărcare peak)</w:t>
            </w:r>
          </w:p>
        </w:tc>
        <w:tc>
          <w:tcPr>
            <w:tcW w:type="dxa" w:w="1542"/>
          </w:tcPr>
          <w:p>
            <w:pPr>
              <w:spacing w:before="0" w:after="0"/>
              <w:ind w:firstLine="0"/>
              <w:jc w:val="left"/>
            </w:pPr>
            <w:r>
              <w:rPr>
                <w:rFonts w:ascii="Times New Roman" w:hAnsi="Times New Roman"/>
                <w:sz w:val="22"/>
              </w:rPr>
              <w:t>Electric grid + Termic (căldură disipată încărcare)</w:t>
            </w:r>
          </w:p>
        </w:tc>
        <w:tc>
          <w:tcPr>
            <w:tcW w:type="dxa" w:w="1542"/>
          </w:tcPr>
          <w:p>
            <w:pPr>
              <w:spacing w:before="0" w:after="0"/>
              <w:ind w:firstLine="0"/>
              <w:jc w:val="left"/>
            </w:pPr>
            <w:r>
              <w:rPr>
                <w:rFonts w:ascii="Times New Roman" w:hAnsi="Times New Roman"/>
                <w:sz w:val="22"/>
              </w:rPr>
              <w:t>η_V2G ≈ 85–90% roundtrip</w:t>
            </w:r>
          </w:p>
        </w:tc>
        <w:tc>
          <w:tcPr>
            <w:tcW w:type="dxa" w:w="1542"/>
          </w:tcPr>
          <w:p>
            <w:pPr>
              <w:spacing w:before="0" w:after="0"/>
              <w:ind w:firstLine="0"/>
              <w:jc w:val="left"/>
            </w:pPr>
            <w:r>
              <w:rPr>
                <w:rFonts w:ascii="Times New Roman" w:hAnsi="Times New Roman"/>
                <w:sz w:val="22"/>
              </w:rPr>
              <w:t>Compensarea proprietarilor EV prin tokeni V2G &gt; degradare baterie justifică participarea; creează capacitate de echilibrare 500 kW agregat din 10 EV-uri = VPP virtual</w:t>
            </w:r>
          </w:p>
        </w:tc>
      </w:tr>
      <w:tr>
        <w:tc>
          <w:tcPr>
            <w:tcW w:type="dxa" w:w="1542"/>
          </w:tcPr>
          <w:p>
            <w:pPr>
              <w:spacing w:before="0" w:after="0"/>
              <w:ind w:firstLine="0"/>
              <w:jc w:val="left"/>
            </w:pPr>
            <w:r>
              <w:rPr>
                <w:rFonts w:ascii="Times New Roman" w:hAnsi="Times New Roman"/>
                <w:sz w:val="22"/>
              </w:rPr>
              <w:t>SY-07: Deșeuri organice → biogaz → H₂ sau CHP</w:t>
            </w:r>
          </w:p>
        </w:tc>
        <w:tc>
          <w:tcPr>
            <w:tcW w:type="dxa" w:w="1542"/>
          </w:tcPr>
          <w:p>
            <w:pPr>
              <w:spacing w:before="0" w:after="0"/>
              <w:ind w:firstLine="0"/>
              <w:jc w:val="left"/>
            </w:pPr>
            <w:r>
              <w:rPr>
                <w:rFonts w:ascii="Times New Roman" w:hAnsi="Times New Roman"/>
                <w:sz w:val="22"/>
              </w:rPr>
              <w:t>Deșeuri organice comunitare (flux materie)</w:t>
            </w:r>
          </w:p>
        </w:tc>
        <w:tc>
          <w:tcPr>
            <w:tcW w:type="dxa" w:w="1542"/>
          </w:tcPr>
          <w:p>
            <w:pPr>
              <w:spacing w:before="0" w:after="0"/>
              <w:ind w:firstLine="0"/>
              <w:jc w:val="left"/>
            </w:pPr>
            <w:r>
              <w:rPr>
                <w:rFonts w:ascii="Times New Roman" w:hAnsi="Times New Roman"/>
                <w:sz w:val="22"/>
              </w:rPr>
              <w:t>Biogaz purificat → CHP sau reformare → H₂</w:t>
            </w:r>
          </w:p>
        </w:tc>
        <w:tc>
          <w:tcPr>
            <w:tcW w:type="dxa" w:w="1542"/>
          </w:tcPr>
          <w:p>
            <w:pPr>
              <w:spacing w:before="0" w:after="0"/>
              <w:ind w:firstLine="0"/>
              <w:jc w:val="left"/>
            </w:pPr>
            <w:r>
              <w:rPr>
                <w:rFonts w:ascii="Times New Roman" w:hAnsi="Times New Roman"/>
                <w:sz w:val="22"/>
              </w:rPr>
              <w:t>η_digestie 55–65% CH₄</w:t>
            </w:r>
          </w:p>
        </w:tc>
        <w:tc>
          <w:tcPr>
            <w:tcW w:type="dxa" w:w="1542"/>
          </w:tcPr>
          <w:p>
            <w:pPr>
              <w:spacing w:before="0" w:after="0"/>
              <w:ind w:firstLine="0"/>
              <w:jc w:val="left"/>
            </w:pPr>
            <w:r>
              <w:rPr>
                <w:rFonts w:ascii="Times New Roman" w:hAnsi="Times New Roman"/>
                <w:sz w:val="22"/>
              </w:rPr>
              <w:t>Circularitate completă: deșeurile comunitare devin combustibil propriu; eliminare cost transport/eliminare; carbon negativitate amplificată</w:t>
            </w:r>
          </w:p>
        </w:tc>
      </w:tr>
    </w:tbl>
    <w:p>
      <w:pPr>
        <w:ind w:firstLine="0"/>
      </w:pPr>
    </w:p>
    <w:p>
      <w:pPr>
        <w:pStyle w:val="TableCaption"/>
      </w:pPr>
      <w:r>
        <w:t>Tabel 17. Simbioze exergetice inter-vectoriale ale EHA. Fiecare simbioză creează valoare care nu poate fi identificată sau valorificată de un agregator mono-vector. Sursă: elaborare proprie pe baza Model Spec EHA V1 + DigitAll V4, EnEx Institute 2025.</w:t>
      </w:r>
    </w:p>
    <w:p>
      <w:pPr>
        <w:ind w:firstLine="0"/>
      </w:pPr>
    </w:p>
    <w:p>
      <w:pPr>
        <w:pStyle w:val="SubHeading"/>
        <w:keepNext/>
      </w:pPr>
      <w:r>
        <w:t>4.3 Problema milp multi-vector — formulare matematică</w:t>
      </w:r>
    </w:p>
    <w:p>
      <w:pPr>
        <w:ind w:firstLine="0"/>
      </w:pPr>
    </w:p>
    <w:p>
      <w:pPr/>
      <w:r>
        <w:t>Problema de optimizare EHA la nivel de HUB (N2), rezolvată prin MILP cu rolling horizon de 4h și granularitate de 15 minute, se formulează după cum urmează:</w:t>
      </w:r>
    </w:p>
    <w:p>
      <w:pPr/>
      <w:r>
        <w:t>Formularea MILP pentru dispatching-ul multi-vector în format compact este detaliată în Tabelul 18.</w:t>
      </w:r>
    </w:p>
    <w:p>
      <w:pPr>
        <w:ind w:firstLine="0"/>
      </w:pPr>
    </w:p>
    <w:p>
      <w:pPr>
        <w:pStyle w:val="TableCaption"/>
      </w:pPr>
      <w:r>
        <w:t>Tabel 18. Formularea MILP pentru dispatching-ul multi-vector în format compact</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FORMULAREA MILP A EHA — DISPATCH MULTI-VECTOR (Formă Compactă)</w:t>
            </w:r>
          </w:p>
        </w:tc>
      </w:tr>
      <w:tr>
        <w:tc>
          <w:tcPr>
            <w:tcW w:type="dxa" w:w="7710"/>
          </w:tcPr>
          <w:p>
            <w:pPr>
              <w:spacing w:before="0" w:after="0"/>
              <w:ind w:firstLine="0"/>
              <w:jc w:val="left"/>
            </w:pPr>
            <w:r>
              <w:rPr>
                <w:rFonts w:ascii="Times New Roman" w:hAnsi="Times New Roman"/>
                <w:sz w:val="22"/>
              </w:rPr>
              <w:t>min Σₜ Σᵥ [λᵥ(t) · Ex_destroyed,v(t)] + Σₜ Cost_import(t) – Σₜ Revenue_export(t)</w:t>
            </w:r>
          </w:p>
        </w:tc>
      </w:tr>
      <w:tr>
        <w:tc>
          <w:tcPr>
            <w:tcW w:type="dxa" w:w="7710"/>
          </w:tcPr>
          <w:p>
            <w:pPr>
              <w:spacing w:before="0" w:after="0"/>
              <w:ind w:firstLine="0"/>
              <w:jc w:val="left"/>
            </w:pPr>
            <w:r>
              <w:rPr>
                <w:rFonts w:ascii="Times New Roman" w:hAnsi="Times New Roman"/>
                <w:sz w:val="22"/>
              </w:rPr>
              <w:t>Constrângeri: (B1) Balanță per vector v și interval t: Σᵢ P_gen,v,i(t) + P_stocare_discharge,v(t) = P_cerere,v(t) + P_stocare_charge,v(t) + P_export,v(t); (B2) QMF ≥ 0.75 pentru toți vectorii termici; (B3) Limite tehnice echipamente: P_min,i ≤ P_i(t) ≤ P_max,i; (B4) Rampe: |P_i(t) – P_i(t–1)| ≤ ΔP_max,i; (B5) SOC stocare: SOC_min ≤ SOC(t) ≤ SOC_max; (B6) SolidarityX: Redistribuire(t) ≥ 0.05 × Revenue_total(t). Variabile binare pentru start/stop CHP și switch cascadă. Rezolvare: Gurobi/OR-Tools, convergență &lt;30s pentru N≤100 variabile, fallback euristic dacă &gt;30s.</w:t>
            </w:r>
          </w:p>
        </w:tc>
      </w:tr>
    </w:tbl>
    <w:p>
      <w:pPr>
        <w:ind w:firstLine="0"/>
      </w:pPr>
    </w:p>
    <w:p>
      <w:pPr>
        <w:ind w:firstLine="0"/>
      </w:pPr>
    </w:p>
    <w:p>
      <w:pPr>
        <w:pStyle w:val="ChapterHeading"/>
        <w:keepNext/>
      </w:pPr>
      <w:r>
        <w:t>5. Studiu de Caz Numeric — Valoarea Adăugată Cuantificată</w:t>
      </w:r>
    </w:p>
    <w:p>
      <w:pPr>
        <w:ind w:firstLine="0"/>
      </w:pPr>
    </w:p>
    <w:p>
      <w:pPr>
        <w:pStyle w:val="SubHeading"/>
        <w:keepNext/>
      </w:pPr>
      <w:r>
        <w:t>5.1 Configurația sistemului de referință</w:t>
      </w:r>
    </w:p>
    <w:p>
      <w:pPr>
        <w:ind w:firstLine="0"/>
      </w:pPr>
    </w:p>
    <w:p>
      <w:pPr/>
      <w:r>
        <w:t>Studiul de caz analizează o comunitate energetică emergentă de 500 de gospodării dintr-un sat din zona rural-periurbană a României (climă continentală, T_medie anuală ~10°C, iradiere globală orizontală ~1.350 kWh/m²/an). Infrastructura include: HUB cu CHP SynTech 150 kWe + 250 kWth (biomasă/SRF), PV 200 kWp, pompe de căldură 5×20 kW, stocare electrică LFP 200 kWh, stocare termică 20 m³ (N1+N2), ReFuel Station capacitate 2 t SRF/zi, ReCarbon unitate biochar 50 tCO₂/an.</w:t>
      </w:r>
    </w:p>
    <w:p>
      <w:pPr>
        <w:ind w:firstLine="0"/>
      </w:pPr>
    </w:p>
    <w:p>
      <w:pPr>
        <w:pStyle w:val="SubHeading"/>
        <w:keepNext/>
      </w:pPr>
      <w:r>
        <w:t>5.2 Rezultatele comparative scenariu 1 (mono-vector) vs. scenariu 2 (eha)</w:t>
      </w:r>
    </w:p>
    <w:p>
      <w:pPr>
        <w:ind w:firstLine="0"/>
      </w:pPr>
    </w:p>
    <w:p>
      <w:pPr/>
      <w:r>
        <w:t>Comparația scenariilor mono-vector și multi-vector cu interpretarea rezultatelor este ilustrată în Tabelul 19.</w:t>
      </w:r>
    </w:p>
    <w:p>
      <w:pPr>
        <w:ind w:firstLine="0"/>
      </w:pPr>
    </w:p>
    <w:p>
      <w:pPr>
        <w:pStyle w:val="TableCaption"/>
      </w:pPr>
      <w:r>
        <w:t>Tabel 19. Comparația scenariilor mono-vector și multi-vector cu interpretarea rezultatelor</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Parametru / Scenariu</w:t>
            </w:r>
          </w:p>
        </w:tc>
        <w:tc>
          <w:tcPr>
            <w:tcW w:type="dxa" w:w="1927"/>
          </w:tcPr>
          <w:p>
            <w:pPr>
              <w:spacing w:before="0" w:after="0"/>
              <w:ind w:firstLine="0"/>
              <w:jc w:val="left"/>
            </w:pPr>
            <w:r>
              <w:rPr>
                <w:rFonts w:ascii="Times New Roman" w:hAnsi="Times New Roman"/>
                <w:b/>
                <w:sz w:val="22"/>
              </w:rPr>
              <w:t>Scenariu 1: Agregator Mono-Vector (Electric-Only)</w:t>
            </w:r>
          </w:p>
        </w:tc>
        <w:tc>
          <w:tcPr>
            <w:tcW w:type="dxa" w:w="1927"/>
          </w:tcPr>
          <w:p>
            <w:pPr>
              <w:spacing w:before="0" w:after="0"/>
              <w:ind w:firstLine="0"/>
              <w:jc w:val="left"/>
            </w:pPr>
            <w:r>
              <w:rPr>
                <w:rFonts w:ascii="Times New Roman" w:hAnsi="Times New Roman"/>
                <w:b/>
                <w:sz w:val="22"/>
              </w:rPr>
              <w:t>Scenariu 2: EHA Multi-Vector (13 Vectori)</w:t>
            </w:r>
          </w:p>
        </w:tc>
        <w:tc>
          <w:tcPr>
            <w:tcW w:type="dxa" w:w="1927"/>
          </w:tcPr>
          <w:p>
            <w:pPr>
              <w:spacing w:before="0" w:after="0"/>
              <w:ind w:firstLine="0"/>
              <w:jc w:val="left"/>
            </w:pPr>
            <w:r>
              <w:rPr>
                <w:rFonts w:ascii="Times New Roman" w:hAnsi="Times New Roman"/>
                <w:b/>
                <w:sz w:val="22"/>
              </w:rPr>
              <w:t>Delta și Interpretare</w:t>
            </w:r>
          </w:p>
        </w:tc>
      </w:tr>
      <w:tr>
        <w:tc>
          <w:tcPr>
            <w:tcW w:type="dxa" w:w="1927"/>
          </w:tcPr>
          <w:p>
            <w:pPr>
              <w:spacing w:before="0" w:after="0"/>
              <w:ind w:firstLine="0"/>
              <w:jc w:val="left"/>
            </w:pPr>
            <w:r>
              <w:rPr>
                <w:rFonts w:ascii="Times New Roman" w:hAnsi="Times New Roman"/>
                <w:sz w:val="22"/>
              </w:rPr>
              <w:t>CARACTERISTICI SISTEM (Comunitate 500 gospodării, HUB cu CHP 150 kWe + 250 kWth, PV 200 kWp, stocare 200 kWh, PC×10)</w:t>
            </w:r>
          </w:p>
        </w:tc>
        <w:tc>
          <w:tcPr>
            <w:tcW w:type="dxa" w:w="1927"/>
          </w:tcPr>
          <w:p/>
        </w:tc>
        <w:tc>
          <w:tcPr>
            <w:tcW w:type="dxa" w:w="1927"/>
          </w:tcPr>
          <w:p/>
        </w:tc>
        <w:tc>
          <w:tcPr>
            <w:tcW w:type="dxa" w:w="1927"/>
          </w:tcPr>
          <w:p/>
        </w:tc>
      </w:tr>
      <w:tr>
        <w:tc>
          <w:tcPr>
            <w:tcW w:type="dxa" w:w="1927"/>
          </w:tcPr>
          <w:p>
            <w:pPr>
              <w:spacing w:before="0" w:after="0"/>
              <w:ind w:firstLine="0"/>
              <w:jc w:val="left"/>
            </w:pPr>
            <w:r>
              <w:rPr>
                <w:rFonts w:ascii="Times New Roman" w:hAnsi="Times New Roman"/>
                <w:sz w:val="22"/>
              </w:rPr>
              <w:t>Vectori gestionați activ</w:t>
            </w:r>
          </w:p>
        </w:tc>
        <w:tc>
          <w:tcPr>
            <w:tcW w:type="dxa" w:w="1927"/>
          </w:tcPr>
          <w:p>
            <w:pPr>
              <w:spacing w:before="0" w:after="0"/>
              <w:ind w:firstLine="0"/>
              <w:jc w:val="left"/>
            </w:pPr>
            <w:r>
              <w:rPr>
                <w:rFonts w:ascii="Times New Roman" w:hAnsi="Times New Roman"/>
                <w:sz w:val="22"/>
              </w:rPr>
              <w:t>1 (electric: 200 kWp FV + 150 kWe CHP + 200 kWh bat.)</w:t>
            </w:r>
          </w:p>
        </w:tc>
        <w:tc>
          <w:tcPr>
            <w:tcW w:type="dxa" w:w="1927"/>
          </w:tcPr>
          <w:p>
            <w:pPr>
              <w:spacing w:before="0" w:after="0"/>
              <w:ind w:firstLine="0"/>
              <w:jc w:val="left"/>
            </w:pPr>
            <w:r>
              <w:rPr>
                <w:rFonts w:ascii="Times New Roman" w:hAnsi="Times New Roman"/>
                <w:sz w:val="22"/>
              </w:rPr>
              <w:t>13 (electric + termic N1/N2/N3 + SRF + H₂ + stocare ×2 + flex. + carbon + financiar + tokeni)</w:t>
            </w:r>
          </w:p>
        </w:tc>
        <w:tc>
          <w:tcPr>
            <w:tcW w:type="dxa" w:w="1927"/>
          </w:tcPr>
          <w:p>
            <w:pPr>
              <w:spacing w:before="0" w:after="0"/>
              <w:ind w:firstLine="0"/>
              <w:jc w:val="left"/>
            </w:pPr>
            <w:r>
              <w:rPr>
                <w:rFonts w:ascii="Times New Roman" w:hAnsi="Times New Roman"/>
                <w:sz w:val="22"/>
              </w:rPr>
              <w:t>EHA captează 13× mai mulți vectori; acoperire energetică 95% vs. 35% din consumul comunitar</w:t>
            </w:r>
          </w:p>
        </w:tc>
      </w:tr>
      <w:tr>
        <w:tc>
          <w:tcPr>
            <w:tcW w:type="dxa" w:w="1927"/>
          </w:tcPr>
          <w:p>
            <w:pPr>
              <w:spacing w:before="0" w:after="0"/>
              <w:ind w:firstLine="0"/>
              <w:jc w:val="left"/>
            </w:pPr>
            <w:r>
              <w:rPr>
                <w:rFonts w:ascii="Times New Roman" w:hAnsi="Times New Roman"/>
                <w:sz w:val="22"/>
              </w:rPr>
              <w:t>Consum termic comunitate (60% din total)</w:t>
            </w:r>
          </w:p>
        </w:tc>
        <w:tc>
          <w:tcPr>
            <w:tcW w:type="dxa" w:w="1927"/>
          </w:tcPr>
          <w:p>
            <w:pPr>
              <w:spacing w:before="0" w:after="0"/>
              <w:ind w:firstLine="0"/>
              <w:jc w:val="left"/>
            </w:pPr>
            <w:r>
              <w:rPr>
                <w:rFonts w:ascii="Times New Roman" w:hAnsi="Times New Roman"/>
                <w:sz w:val="22"/>
              </w:rPr>
              <w:t>NEMODELAT — furnizat din gaz natural separat</w:t>
            </w:r>
          </w:p>
        </w:tc>
        <w:tc>
          <w:tcPr>
            <w:tcW w:type="dxa" w:w="1927"/>
          </w:tcPr>
          <w:p>
            <w:pPr>
              <w:spacing w:before="0" w:after="0"/>
              <w:ind w:firstLine="0"/>
              <w:jc w:val="left"/>
            </w:pPr>
            <w:r>
              <w:rPr>
                <w:rFonts w:ascii="Times New Roman" w:hAnsi="Times New Roman"/>
                <w:sz w:val="22"/>
              </w:rPr>
              <w:t>Integrat: N1 CHP (250 kWth) → N2 PC → N3 recuperare; cascadă automată QMF ≥ 0.82</w:t>
            </w:r>
          </w:p>
        </w:tc>
        <w:tc>
          <w:tcPr>
            <w:tcW w:type="dxa" w:w="1927"/>
          </w:tcPr>
          <w:p>
            <w:pPr>
              <w:spacing w:before="0" w:after="0"/>
              <w:ind w:firstLine="0"/>
              <w:jc w:val="left"/>
            </w:pPr>
            <w:r>
              <w:rPr>
                <w:rFonts w:ascii="Times New Roman" w:hAnsi="Times New Roman"/>
                <w:sz w:val="22"/>
              </w:rPr>
              <w:t>Înlocuire 85% din consumul de gaz natural → economii 45.000–75.000 EUR/an combustibil</w:t>
            </w:r>
          </w:p>
        </w:tc>
      </w:tr>
      <w:tr>
        <w:tc>
          <w:tcPr>
            <w:tcW w:type="dxa" w:w="1927"/>
          </w:tcPr>
          <w:p>
            <w:pPr>
              <w:spacing w:before="0" w:after="0"/>
              <w:ind w:firstLine="0"/>
              <w:jc w:val="left"/>
            </w:pPr>
            <w:r>
              <w:rPr>
                <w:rFonts w:ascii="Times New Roman" w:hAnsi="Times New Roman"/>
                <w:sz w:val="22"/>
              </w:rPr>
              <w:t>Venituri electricitate (OPCOM PZU + intraday)</w:t>
            </w:r>
          </w:p>
        </w:tc>
        <w:tc>
          <w:tcPr>
            <w:tcW w:type="dxa" w:w="1927"/>
          </w:tcPr>
          <w:p>
            <w:pPr>
              <w:spacing w:before="0" w:after="0"/>
              <w:ind w:firstLine="0"/>
              <w:jc w:val="left"/>
            </w:pPr>
            <w:r>
              <w:rPr>
                <w:rFonts w:ascii="Times New Roman" w:hAnsi="Times New Roman"/>
                <w:sz w:val="22"/>
              </w:rPr>
              <w:t>32.000–48.000 EUR/an (dispatch naiv, fără predicție)</w:t>
            </w:r>
          </w:p>
        </w:tc>
        <w:tc>
          <w:tcPr>
            <w:tcW w:type="dxa" w:w="1927"/>
          </w:tcPr>
          <w:p>
            <w:pPr>
              <w:spacing w:before="0" w:after="0"/>
              <w:ind w:firstLine="0"/>
              <w:jc w:val="left"/>
            </w:pPr>
            <w:r>
              <w:rPr>
                <w:rFonts w:ascii="Times New Roman" w:hAnsi="Times New Roman"/>
                <w:sz w:val="22"/>
              </w:rPr>
              <w:t>38.000–55.000 EUR/an (dispatch MILP optim + arbitraj prețuri 24h LSTM)</w:t>
            </w:r>
          </w:p>
        </w:tc>
        <w:tc>
          <w:tcPr>
            <w:tcW w:type="dxa" w:w="1927"/>
          </w:tcPr>
          <w:p>
            <w:pPr>
              <w:spacing w:before="0" w:after="0"/>
              <w:ind w:firstLine="0"/>
              <w:jc w:val="left"/>
            </w:pPr>
            <w:r>
              <w:rPr>
                <w:rFonts w:ascii="Times New Roman" w:hAnsi="Times New Roman"/>
                <w:sz w:val="22"/>
              </w:rPr>
              <w:t>Delta +18–25%: predicție LSTM + MILP permite arbitraj în 20–30% intervale cu prețuri favorabile</w:t>
            </w:r>
          </w:p>
        </w:tc>
      </w:tr>
      <w:tr>
        <w:tc>
          <w:tcPr>
            <w:tcW w:type="dxa" w:w="1927"/>
          </w:tcPr>
          <w:p>
            <w:pPr>
              <w:spacing w:before="0" w:after="0"/>
              <w:ind w:firstLine="0"/>
              <w:jc w:val="left"/>
            </w:pPr>
            <w:r>
              <w:rPr>
                <w:rFonts w:ascii="Times New Roman" w:hAnsi="Times New Roman"/>
                <w:sz w:val="22"/>
              </w:rPr>
              <w:t>Venituri certificare carbon (EU-ETS + CRCF)</w:t>
            </w:r>
          </w:p>
        </w:tc>
        <w:tc>
          <w:tcPr>
            <w:tcW w:type="dxa" w:w="1927"/>
          </w:tcPr>
          <w:p>
            <w:pPr>
              <w:spacing w:before="0" w:after="0"/>
              <w:ind w:firstLine="0"/>
              <w:jc w:val="left"/>
            </w:pPr>
            <w:r>
              <w:rPr>
                <w:rFonts w:ascii="Times New Roman" w:hAnsi="Times New Roman"/>
                <w:sz w:val="22"/>
              </w:rPr>
              <w:t>0 EUR/an (vectorul carbon nu este modelat)</w:t>
            </w:r>
          </w:p>
        </w:tc>
        <w:tc>
          <w:tcPr>
            <w:tcW w:type="dxa" w:w="1927"/>
          </w:tcPr>
          <w:p>
            <w:pPr>
              <w:spacing w:before="0" w:after="0"/>
              <w:ind w:firstLine="0"/>
              <w:jc w:val="left"/>
            </w:pPr>
            <w:r>
              <w:rPr>
                <w:rFonts w:ascii="Times New Roman" w:hAnsi="Times New Roman"/>
                <w:sz w:val="22"/>
              </w:rPr>
              <w:t>12.000–25.000 EUR/an (biochar ReCarbon: 50 tCO₂/an × 125–250 EUR/tCO₂)</w:t>
            </w:r>
          </w:p>
        </w:tc>
        <w:tc>
          <w:tcPr>
            <w:tcW w:type="dxa" w:w="1927"/>
          </w:tcPr>
          <w:p>
            <w:pPr>
              <w:spacing w:before="0" w:after="0"/>
              <w:ind w:firstLine="0"/>
              <w:jc w:val="left"/>
            </w:pPr>
            <w:r>
              <w:rPr>
                <w:rFonts w:ascii="Times New Roman" w:hAnsi="Times New Roman"/>
                <w:sz w:val="22"/>
              </w:rPr>
              <w:t>Revenue nou 100% față de abordarea clasică; imposibil fără optimizarea lantului SynTech→ReCarbon</w:t>
            </w:r>
          </w:p>
        </w:tc>
      </w:tr>
      <w:tr>
        <w:tc>
          <w:tcPr>
            <w:tcW w:type="dxa" w:w="1927"/>
          </w:tcPr>
          <w:p>
            <w:pPr>
              <w:spacing w:before="0" w:after="0"/>
              <w:ind w:firstLine="0"/>
              <w:jc w:val="left"/>
            </w:pPr>
            <w:r>
              <w:rPr>
                <w:rFonts w:ascii="Times New Roman" w:hAnsi="Times New Roman"/>
                <w:sz w:val="22"/>
              </w:rPr>
              <w:t>Venituri certificate verzi (CV ANRE)</w:t>
            </w:r>
          </w:p>
        </w:tc>
        <w:tc>
          <w:tcPr>
            <w:tcW w:type="dxa" w:w="1927"/>
          </w:tcPr>
          <w:p>
            <w:pPr>
              <w:spacing w:before="0" w:after="0"/>
              <w:ind w:firstLine="0"/>
              <w:jc w:val="left"/>
            </w:pPr>
            <w:r>
              <w:rPr>
                <w:rFonts w:ascii="Times New Roman" w:hAnsi="Times New Roman"/>
                <w:sz w:val="22"/>
              </w:rPr>
              <w:t>4.000–8.000 EUR/an (doar FV)</w:t>
            </w:r>
          </w:p>
        </w:tc>
        <w:tc>
          <w:tcPr>
            <w:tcW w:type="dxa" w:w="1927"/>
          </w:tcPr>
          <w:p>
            <w:pPr>
              <w:spacing w:before="0" w:after="0"/>
              <w:ind w:firstLine="0"/>
              <w:jc w:val="left"/>
            </w:pPr>
            <w:r>
              <w:rPr>
                <w:rFonts w:ascii="Times New Roman" w:hAnsi="Times New Roman"/>
                <w:sz w:val="22"/>
              </w:rPr>
              <w:t>8.000–15.000 EUR/an (FV + CHP biomasa cogenerare de înaltă eficiență + H₂)</w:t>
            </w:r>
          </w:p>
        </w:tc>
        <w:tc>
          <w:tcPr>
            <w:tcW w:type="dxa" w:w="1927"/>
          </w:tcPr>
          <w:p>
            <w:pPr>
              <w:spacing w:before="0" w:after="0"/>
              <w:ind w:firstLine="0"/>
              <w:jc w:val="left"/>
            </w:pPr>
            <w:r>
              <w:rPr>
                <w:rFonts w:ascii="Times New Roman" w:hAnsi="Times New Roman"/>
                <w:sz w:val="22"/>
              </w:rPr>
              <w:t>Delta +50–100%: CHP biomasa eligibil pentru bonus cogenerare; H₂ electroliză din surplus FV</w:t>
            </w:r>
          </w:p>
        </w:tc>
      </w:tr>
      <w:tr>
        <w:tc>
          <w:tcPr>
            <w:tcW w:type="dxa" w:w="1927"/>
          </w:tcPr>
          <w:p>
            <w:pPr>
              <w:spacing w:before="0" w:after="0"/>
              <w:ind w:firstLine="0"/>
              <w:jc w:val="left"/>
            </w:pPr>
            <w:r>
              <w:rPr>
                <w:rFonts w:ascii="Times New Roman" w:hAnsi="Times New Roman"/>
                <w:sz w:val="22"/>
              </w:rPr>
              <w:t>Venituri flexibilitate (piața de echilibrare ANRE)</w:t>
            </w:r>
          </w:p>
        </w:tc>
        <w:tc>
          <w:tcPr>
            <w:tcW w:type="dxa" w:w="1927"/>
          </w:tcPr>
          <w:p>
            <w:pPr>
              <w:spacing w:before="0" w:after="0"/>
              <w:ind w:firstLine="0"/>
              <w:jc w:val="left"/>
            </w:pPr>
            <w:r>
              <w:rPr>
                <w:rFonts w:ascii="Times New Roman" w:hAnsi="Times New Roman"/>
                <w:sz w:val="22"/>
              </w:rPr>
              <w:t>2.000–5.000 EUR/an (doar baterii electrice, 200 kWh)</w:t>
            </w:r>
          </w:p>
        </w:tc>
        <w:tc>
          <w:tcPr>
            <w:tcW w:type="dxa" w:w="1927"/>
          </w:tcPr>
          <w:p>
            <w:pPr>
              <w:spacing w:before="0" w:after="0"/>
              <w:ind w:firstLine="0"/>
              <w:jc w:val="left"/>
            </w:pPr>
            <w:r>
              <w:rPr>
                <w:rFonts w:ascii="Times New Roman" w:hAnsi="Times New Roman"/>
                <w:sz w:val="22"/>
              </w:rPr>
              <w:t>8.000–18.000 EUR/an (baterii + V2G + mase termice + SynTech dispatchable)</w:t>
            </w:r>
          </w:p>
        </w:tc>
        <w:tc>
          <w:tcPr>
            <w:tcW w:type="dxa" w:w="1927"/>
          </w:tcPr>
          <w:p>
            <w:pPr>
              <w:spacing w:before="0" w:after="0"/>
              <w:ind w:firstLine="0"/>
              <w:jc w:val="left"/>
            </w:pPr>
            <w:r>
              <w:rPr>
                <w:rFonts w:ascii="Times New Roman" w:hAnsi="Times New Roman"/>
                <w:sz w:val="22"/>
              </w:rPr>
              <w:t>Delta ×4: capacitate flexibilitate 4× mai mare prin agregare multi-vector; 500–1.000 kW flex. total</w:t>
            </w:r>
          </w:p>
        </w:tc>
      </w:tr>
      <w:tr>
        <w:tc>
          <w:tcPr>
            <w:tcW w:type="dxa" w:w="1927"/>
          </w:tcPr>
          <w:p>
            <w:pPr>
              <w:spacing w:before="0" w:after="0"/>
              <w:ind w:firstLine="0"/>
              <w:jc w:val="left"/>
            </w:pPr>
            <w:r>
              <w:rPr>
                <w:rFonts w:ascii="Times New Roman" w:hAnsi="Times New Roman"/>
                <w:sz w:val="22"/>
              </w:rPr>
              <w:t>Venituri tokenizare (6 tipuri tokeni)</w:t>
            </w:r>
          </w:p>
        </w:tc>
        <w:tc>
          <w:tcPr>
            <w:tcW w:type="dxa" w:w="1927"/>
          </w:tcPr>
          <w:p>
            <w:pPr>
              <w:spacing w:before="0" w:after="0"/>
              <w:ind w:firstLine="0"/>
              <w:jc w:val="left"/>
            </w:pPr>
            <w:r>
              <w:rPr>
                <w:rFonts w:ascii="Times New Roman" w:hAnsi="Times New Roman"/>
                <w:sz w:val="22"/>
              </w:rPr>
              <w:t>0 EUR/an (nu există în modelul clasic)</w:t>
            </w:r>
          </w:p>
        </w:tc>
        <w:tc>
          <w:tcPr>
            <w:tcW w:type="dxa" w:w="1927"/>
          </w:tcPr>
          <w:p>
            <w:pPr>
              <w:spacing w:before="0" w:after="0"/>
              <w:ind w:firstLine="0"/>
              <w:jc w:val="left"/>
            </w:pPr>
            <w:r>
              <w:rPr>
                <w:rFonts w:ascii="Times New Roman" w:hAnsi="Times New Roman"/>
                <w:sz w:val="22"/>
              </w:rPr>
              <w:t>5.000–12.000 EUR/an (tokeni energie + SRF + S2E + carbon + solidaritate + guvernanță)</w:t>
            </w:r>
          </w:p>
        </w:tc>
        <w:tc>
          <w:tcPr>
            <w:tcW w:type="dxa" w:w="1927"/>
          </w:tcPr>
          <w:p>
            <w:pPr>
              <w:spacing w:before="0" w:after="0"/>
              <w:ind w:firstLine="0"/>
              <w:jc w:val="left"/>
            </w:pPr>
            <w:r>
              <w:rPr>
                <w:rFonts w:ascii="Times New Roman" w:hAnsi="Times New Roman"/>
                <w:sz w:val="22"/>
              </w:rPr>
              <w:t>Revenue nou 100%; tokeni creează un mecanism de redistribuire echitabilă a valorii create de EHA</w:t>
            </w:r>
          </w:p>
        </w:tc>
      </w:tr>
      <w:tr>
        <w:tc>
          <w:tcPr>
            <w:tcW w:type="dxa" w:w="1927"/>
          </w:tcPr>
          <w:p>
            <w:pPr>
              <w:spacing w:before="0" w:after="0"/>
              <w:ind w:firstLine="0"/>
              <w:jc w:val="left"/>
            </w:pPr>
            <w:r>
              <w:rPr>
                <w:rFonts w:ascii="Times New Roman" w:hAnsi="Times New Roman"/>
                <w:sz w:val="22"/>
              </w:rPr>
              <w:t>Eficiență exergetică sistem η_ex</w:t>
            </w:r>
          </w:p>
        </w:tc>
        <w:tc>
          <w:tcPr>
            <w:tcW w:type="dxa" w:w="1927"/>
          </w:tcPr>
          <w:p>
            <w:pPr>
              <w:spacing w:before="0" w:after="0"/>
              <w:ind w:firstLine="0"/>
              <w:jc w:val="left"/>
            </w:pPr>
            <w:r>
              <w:rPr>
                <w:rFonts w:ascii="Times New Roman" w:hAnsi="Times New Roman"/>
                <w:sz w:val="22"/>
              </w:rPr>
              <w:t>8–15% (tipic sistem 3G cu ardere și pierderi termice neglije)</w:t>
            </w:r>
          </w:p>
        </w:tc>
        <w:tc>
          <w:tcPr>
            <w:tcW w:type="dxa" w:w="1927"/>
          </w:tcPr>
          <w:p>
            <w:pPr>
              <w:spacing w:before="0" w:after="0"/>
              <w:ind w:firstLine="0"/>
              <w:jc w:val="left"/>
            </w:pPr>
            <w:r>
              <w:rPr>
                <w:rFonts w:ascii="Times New Roman" w:hAnsi="Times New Roman"/>
                <w:sz w:val="22"/>
              </w:rPr>
              <w:t>55–70% (cascadă N1→N4, QMF&gt;0.80, recuperare reziduale)</w:t>
            </w:r>
          </w:p>
        </w:tc>
        <w:tc>
          <w:tcPr>
            <w:tcW w:type="dxa" w:w="1927"/>
          </w:tcPr>
          <w:p>
            <w:pPr>
              <w:spacing w:before="0" w:after="0"/>
              <w:ind w:firstLine="0"/>
              <w:jc w:val="left"/>
            </w:pPr>
            <w:r>
              <w:rPr>
                <w:rFonts w:ascii="Times New Roman" w:hAnsi="Times New Roman"/>
                <w:sz w:val="22"/>
              </w:rPr>
              <w:t>×4–8 eficiență exergetică; 74% din exergia distrusă în sistemul clasic este recuperată în EHA</w:t>
            </w:r>
          </w:p>
        </w:tc>
      </w:tr>
      <w:tr>
        <w:tc>
          <w:tcPr>
            <w:tcW w:type="dxa" w:w="1927"/>
          </w:tcPr>
          <w:p>
            <w:pPr>
              <w:spacing w:before="0" w:after="0"/>
              <w:ind w:firstLine="0"/>
              <w:jc w:val="left"/>
            </w:pPr>
            <w:r>
              <w:rPr>
                <w:rFonts w:ascii="Times New Roman" w:hAnsi="Times New Roman"/>
                <w:sz w:val="22"/>
              </w:rPr>
              <w:t>TOTAL VENITURI ANUALE</w:t>
            </w:r>
          </w:p>
        </w:tc>
        <w:tc>
          <w:tcPr>
            <w:tcW w:type="dxa" w:w="1927"/>
          </w:tcPr>
          <w:p>
            <w:pPr>
              <w:spacing w:before="0" w:after="0"/>
              <w:ind w:firstLine="0"/>
              <w:jc w:val="left"/>
            </w:pPr>
            <w:r>
              <w:rPr>
                <w:rFonts w:ascii="Times New Roman" w:hAnsi="Times New Roman"/>
                <w:sz w:val="22"/>
              </w:rPr>
              <w:t>38.000–61.000 EUR/an (electric-only)</w:t>
            </w:r>
          </w:p>
        </w:tc>
        <w:tc>
          <w:tcPr>
            <w:tcW w:type="dxa" w:w="1927"/>
          </w:tcPr>
          <w:p>
            <w:pPr>
              <w:spacing w:before="0" w:after="0"/>
              <w:ind w:firstLine="0"/>
              <w:jc w:val="left"/>
            </w:pPr>
            <w:r>
              <w:rPr>
                <w:rFonts w:ascii="Times New Roman" w:hAnsi="Times New Roman"/>
                <w:sz w:val="22"/>
              </w:rPr>
              <w:t>71.000–125.000 EUR/an (holistic 13 vectori)</w:t>
            </w:r>
          </w:p>
        </w:tc>
        <w:tc>
          <w:tcPr>
            <w:tcW w:type="dxa" w:w="1927"/>
          </w:tcPr>
          <w:p>
            <w:pPr>
              <w:spacing w:before="0" w:after="0"/>
              <w:ind w:firstLine="0"/>
              <w:jc w:val="left"/>
            </w:pPr>
            <w:r>
              <w:rPr>
                <w:rFonts w:ascii="Times New Roman" w:hAnsi="Times New Roman"/>
                <w:sz w:val="22"/>
              </w:rPr>
              <w:t>Delta: +33.000–64.000 EUR/an; Financial Holistic Delta FHD = +86%–105% față de mono-vector</w:t>
            </w:r>
          </w:p>
        </w:tc>
      </w:tr>
      <w:tr>
        <w:tc>
          <w:tcPr>
            <w:tcW w:type="dxa" w:w="1927"/>
          </w:tcPr>
          <w:p>
            <w:pPr>
              <w:spacing w:before="0" w:after="0"/>
              <w:ind w:firstLine="0"/>
              <w:jc w:val="left"/>
            </w:pPr>
            <w:r>
              <w:rPr>
                <w:rFonts w:ascii="Times New Roman" w:hAnsi="Times New Roman"/>
                <w:sz w:val="22"/>
              </w:rPr>
              <w:t>Investiție suplimentară EHA vs. SCADA clasic</w:t>
            </w:r>
          </w:p>
        </w:tc>
        <w:tc>
          <w:tcPr>
            <w:tcW w:type="dxa" w:w="1927"/>
          </w:tcPr>
          <w:p>
            <w:pPr>
              <w:spacing w:before="0" w:after="0"/>
              <w:ind w:firstLine="0"/>
              <w:jc w:val="left"/>
            </w:pPr>
            <w:r>
              <w:rPr>
                <w:rFonts w:ascii="Times New Roman" w:hAnsi="Times New Roman"/>
                <w:sz w:val="22"/>
              </w:rPr>
              <w:t>0 EUR (sistem SCADA de baza inclus)</w:t>
            </w:r>
          </w:p>
        </w:tc>
        <w:tc>
          <w:tcPr>
            <w:tcW w:type="dxa" w:w="1927"/>
          </w:tcPr>
          <w:p>
            <w:pPr>
              <w:spacing w:before="0" w:after="0"/>
              <w:ind w:firstLine="0"/>
              <w:jc w:val="left"/>
            </w:pPr>
            <w:r>
              <w:rPr>
                <w:rFonts w:ascii="Times New Roman" w:hAnsi="Times New Roman"/>
                <w:sz w:val="22"/>
              </w:rPr>
              <w:t>25.000–45.000 EUR (module software EHA suplimentare, IoT extins, AI engine)</w:t>
            </w:r>
          </w:p>
        </w:tc>
        <w:tc>
          <w:tcPr>
            <w:tcW w:type="dxa" w:w="1927"/>
          </w:tcPr>
          <w:p>
            <w:pPr>
              <w:spacing w:before="0" w:after="0"/>
              <w:ind w:firstLine="0"/>
              <w:jc w:val="left"/>
            </w:pPr>
            <w:r>
              <w:rPr>
                <w:rFonts w:ascii="Times New Roman" w:hAnsi="Times New Roman"/>
                <w:sz w:val="22"/>
              </w:rPr>
              <w:t>Payback investiție software EHA: (45.000 EUR) / (48.500 EUR/an delta) = &lt;1 an (!); ROI software &gt;100%/an</w:t>
            </w:r>
          </w:p>
        </w:tc>
      </w:tr>
      <w:tr>
        <w:tc>
          <w:tcPr>
            <w:tcW w:type="dxa" w:w="1927"/>
          </w:tcPr>
          <w:p>
            <w:pPr>
              <w:spacing w:before="0" w:after="0"/>
              <w:ind w:firstLine="0"/>
              <w:jc w:val="left"/>
            </w:pPr>
            <w:r>
              <w:rPr>
                <w:rFonts w:ascii="Times New Roman" w:hAnsi="Times New Roman"/>
                <w:sz w:val="22"/>
              </w:rPr>
              <w:t>Emisii CO₂e comunitate</w:t>
            </w:r>
          </w:p>
        </w:tc>
        <w:tc>
          <w:tcPr>
            <w:tcW w:type="dxa" w:w="1927"/>
          </w:tcPr>
          <w:p>
            <w:pPr>
              <w:spacing w:before="0" w:after="0"/>
              <w:ind w:firstLine="0"/>
              <w:jc w:val="left"/>
            </w:pPr>
            <w:r>
              <w:rPr>
                <w:rFonts w:ascii="Times New Roman" w:hAnsi="Times New Roman"/>
                <w:sz w:val="22"/>
              </w:rPr>
              <w:t>+120 tCO₂e/an (import gaz natural + rețea electrică mix)</w:t>
            </w:r>
          </w:p>
        </w:tc>
        <w:tc>
          <w:tcPr>
            <w:tcW w:type="dxa" w:w="1927"/>
          </w:tcPr>
          <w:p>
            <w:pPr>
              <w:spacing w:before="0" w:after="0"/>
              <w:ind w:firstLine="0"/>
              <w:jc w:val="left"/>
            </w:pPr>
            <w:r>
              <w:rPr>
                <w:rFonts w:ascii="Times New Roman" w:hAnsi="Times New Roman"/>
                <w:sz w:val="22"/>
              </w:rPr>
              <w:t>–50 tCO₂e/an (carbon negativ: biochar &gt; emisii reziduale)</w:t>
            </w:r>
          </w:p>
        </w:tc>
        <w:tc>
          <w:tcPr>
            <w:tcW w:type="dxa" w:w="1927"/>
          </w:tcPr>
          <w:p>
            <w:pPr>
              <w:spacing w:before="0" w:after="0"/>
              <w:ind w:firstLine="0"/>
              <w:jc w:val="left"/>
            </w:pPr>
            <w:r>
              <w:rPr>
                <w:rFonts w:ascii="Times New Roman" w:hAnsi="Times New Roman"/>
                <w:sz w:val="22"/>
              </w:rPr>
              <w:t>Delta: 170 tCO₂e/an reducere netă; trecere de la carbon pozitiv la carbon NEGATIV = regenerativ</w:t>
            </w:r>
          </w:p>
        </w:tc>
      </w:tr>
    </w:tbl>
    <w:p>
      <w:pPr>
        <w:ind w:firstLine="0"/>
      </w:pPr>
    </w:p>
    <w:p>
      <w:pPr>
        <w:pStyle w:val="TableCaption"/>
      </w:pPr>
      <w:r>
        <w:t>Tabel 20. Studiu de caz comparativ Scenariu Mono-Vector vs. EHA Multi-Vector pentru comunitate 500 gospodării, HUB 150 kWe + 250 kWth + 200 kWp FV + 200 kWh stocare + PC×10. Valorile financiare sunt estimări bazate pe prețuri piață România 2025 (OPCOM: 80–200 €/MWh, ETS: 50–80 €/tCO₂, CV: 25–35 RON/CV, biochar: 125–250 €/tCO₂). Sursă: calcul propriu pe baza datelor EnEx Institute 2025–2026.</w:t>
      </w:r>
    </w:p>
    <w:p>
      <w:pPr>
        <w:ind w:firstLine="0"/>
      </w:pPr>
    </w:p>
    <w:p>
      <w:pPr>
        <w:pStyle w:val="SubHeading"/>
        <w:keepNext/>
      </w:pPr>
      <w:r>
        <w:t>5.3 Analiza cross-vector synergy gain (cvsg)</w:t>
      </w:r>
    </w:p>
    <w:p>
      <w:pPr>
        <w:ind w:firstLine="0"/>
      </w:pPr>
    </w:p>
    <w:p>
      <w:pPr/>
      <w:r>
        <w:t>Calculul câștigului sinergic inter-vector prin studiu de caz se regăsește în Tabelul 21.</w:t>
      </w:r>
    </w:p>
    <w:p>
      <w:pPr>
        <w:ind w:firstLine="0"/>
      </w:pPr>
    </w:p>
    <w:p>
      <w:pPr>
        <w:pStyle w:val="TableCaption"/>
      </w:pPr>
      <w:r>
        <w:t>Tabel 21. Calculul câștigului sinergic inter-vector prin studiu de caz</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CALCUL CROSS-VECTOR SYNERGY GAIN (CVSG) — STUDIU DE CAZ</w:t>
            </w:r>
          </w:p>
        </w:tc>
      </w:tr>
      <w:tr>
        <w:tc>
          <w:tcPr>
            <w:tcW w:type="dxa" w:w="7710"/>
          </w:tcPr>
          <w:p>
            <w:pPr>
              <w:spacing w:before="0" w:after="0"/>
              <w:ind w:firstLine="0"/>
              <w:jc w:val="left"/>
            </w:pPr>
            <w:r>
              <w:rPr>
                <w:rFonts w:ascii="Times New Roman" w:hAnsi="Times New Roman"/>
                <w:sz w:val="22"/>
              </w:rPr>
              <w:t>CVSG = (Venituri_EHA – Σ Venituri_per_vector_izolat) / Σ Venituri_per_vector_izolat × 100</w:t>
            </w:r>
          </w:p>
        </w:tc>
      </w:tr>
      <w:tr>
        <w:tc>
          <w:tcPr>
            <w:tcW w:type="dxa" w:w="7710"/>
          </w:tcPr>
          <w:p>
            <w:pPr>
              <w:spacing w:before="0" w:after="0"/>
              <w:ind w:firstLine="0"/>
              <w:jc w:val="left"/>
            </w:pPr>
            <w:r>
              <w:rPr>
                <w:rFonts w:ascii="Times New Roman" w:hAnsi="Times New Roman"/>
                <w:sz w:val="22"/>
              </w:rPr>
              <w:t>Σ Venituri_per_vector_izolat = 38.000–61.000 EUR/an (suma veniturilor fiecărui vector optimizat separat, fără sinergie). Venituri_EHA = 71.000–125.000 EUR/an. CVSG = (98.000 – 49.500) / 49.500 × 100 = +98% (estimare mediană). Nota: CVSG include numai câștigul din sinergie (nu și câștigul din includerea vectorilor noi); Financial Holistic Delta (FHD) include ambele componente.</w:t>
            </w:r>
          </w:p>
        </w:tc>
      </w:tr>
    </w:tbl>
    <w:p>
      <w:pPr>
        <w:ind w:firstLine="0"/>
      </w:pPr>
    </w:p>
    <w:p>
      <w:pPr>
        <w:ind w:firstLine="0"/>
      </w:pPr>
    </w:p>
    <w:p>
      <w:pPr>
        <w:pStyle w:val="ChapterHeading"/>
        <w:keepNext/>
      </w:pPr>
      <w:r>
        <w:t>6. Cadrul Kpi — 20 Indicatori pe 4 Axe</w:t>
      </w:r>
    </w:p>
    <w:p>
      <w:pPr>
        <w:ind w:firstLine="0"/>
      </w:pPr>
    </w:p>
    <w:p>
      <w:pPr>
        <w:pStyle w:val="SubHeading"/>
        <w:keepNext/>
      </w:pPr>
      <w:r>
        <w:t>6.1 Filosofia cadrului kpi pentru certificarea agregării holistice</w:t>
      </w:r>
    </w:p>
    <w:p>
      <w:pPr>
        <w:ind w:firstLine="0"/>
      </w:pPr>
    </w:p>
    <w:p>
      <w:pPr/>
      <w:r>
        <w:t>Evaluarea unui agregator holistic nu poate fi realizată printr-un singur indicator (nici Financial Holistic Delta, nici Cross-Vector Synergy Gain nu sunt suficienți singuri). Propunem un cadru cu 20 indicatori structurați pe 4 axe, calculabili integral din datele disponibile în platforma EMS/Cloud fără colectare manuală, și propuși ca referință pentru certificarea nivelului de agregare holistică în contextul implementării Directivei (UE) 2023/1791 privind comunitățile energetice.</w:t>
      </w:r>
    </w:p>
    <w:p>
      <w:pPr/>
      <w:r>
        <w:t>Cadrul definește implicit patru clase de certificare: Clasa E (EHA Basic, ≥5 vectori, CVSG ≥2%), Clasa C (EHA Standard, ≥8 vectori, CVSG ≥5%), Clasa B (EHA Advanced, ≥10 vectori, CVSG ≥10%, HOG ≤10%), Clasa A+ (EHA Full, ≥13 vectori, CVSG ≥15%, HOG ≤5%, FHD ≥30%). Clasa A+ corespunde implementării complete a Exergy Holistic Aggregator din prezenta lucrare.</w:t>
      </w:r>
    </w:p>
    <w:p>
      <w:pPr/>
      <w:r>
        <w:t>Indicatorii de performanță și metodologiile de calcul pentru EHA sunt prezentați în Tabelul 22.</w:t>
      </w:r>
    </w:p>
    <w:p>
      <w:pPr>
        <w:ind w:firstLine="0"/>
      </w:pPr>
    </w:p>
    <w:p>
      <w:pPr>
        <w:pStyle w:val="TableCaption"/>
      </w:pPr>
      <w:r>
        <w:t>Tabel 22. Indicatorii de performanță și metodologiile de calcul pentru EHA</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Cod</w:t>
            </w:r>
          </w:p>
        </w:tc>
        <w:tc>
          <w:tcPr>
            <w:tcW w:type="dxa" w:w="1542"/>
          </w:tcPr>
          <w:p>
            <w:pPr>
              <w:spacing w:before="0" w:after="0"/>
              <w:ind w:firstLine="0"/>
              <w:jc w:val="left"/>
            </w:pPr>
            <w:r>
              <w:rPr>
                <w:rFonts w:ascii="Times New Roman" w:hAnsi="Times New Roman"/>
                <w:b/>
                <w:sz w:val="22"/>
              </w:rPr>
              <w:t>Indicator de Performanță EHA</w:t>
            </w:r>
          </w:p>
        </w:tc>
        <w:tc>
          <w:tcPr>
            <w:tcW w:type="dxa" w:w="1542"/>
          </w:tcPr>
          <w:p>
            <w:pPr>
              <w:spacing w:before="0" w:after="0"/>
              <w:ind w:firstLine="0"/>
              <w:jc w:val="left"/>
            </w:pPr>
            <w:r>
              <w:rPr>
                <w:rFonts w:ascii="Times New Roman" w:hAnsi="Times New Roman"/>
                <w:b/>
                <w:sz w:val="22"/>
              </w:rPr>
              <w:t>Target</w:t>
            </w:r>
          </w:p>
        </w:tc>
        <w:tc>
          <w:tcPr>
            <w:tcW w:type="dxa" w:w="1542"/>
          </w:tcPr>
          <w:p>
            <w:pPr>
              <w:spacing w:before="0" w:after="0"/>
              <w:ind w:firstLine="0"/>
              <w:jc w:val="left"/>
            </w:pPr>
            <w:r>
              <w:rPr>
                <w:rFonts w:ascii="Times New Roman" w:hAnsi="Times New Roman"/>
                <w:b/>
                <w:sz w:val="22"/>
              </w:rPr>
              <w:t>UM</w:t>
            </w:r>
          </w:p>
        </w:tc>
        <w:tc>
          <w:tcPr>
            <w:tcW w:type="dxa" w:w="1542"/>
          </w:tcPr>
          <w:p>
            <w:pPr>
              <w:spacing w:before="0" w:after="0"/>
              <w:ind w:firstLine="0"/>
              <w:jc w:val="left"/>
            </w:pPr>
            <w:r>
              <w:rPr>
                <w:rFonts w:ascii="Times New Roman" w:hAnsi="Times New Roman"/>
                <w:b/>
                <w:sz w:val="22"/>
              </w:rPr>
              <w:t>Metodologie de Calcul și Sursă de Date</w:t>
            </w:r>
          </w:p>
        </w:tc>
      </w:tr>
      <w:tr>
        <w:tc>
          <w:tcPr>
            <w:tcW w:type="dxa" w:w="1542"/>
          </w:tcPr>
          <w:p>
            <w:pPr>
              <w:spacing w:before="0" w:after="0"/>
              <w:ind w:firstLine="0"/>
              <w:jc w:val="left"/>
            </w:pPr>
            <w:r>
              <w:rPr>
                <w:rFonts w:ascii="Times New Roman" w:hAnsi="Times New Roman"/>
                <w:sz w:val="22"/>
              </w:rPr>
              <w:t>KPI PERFORMANȚĂ HOLISTICĂ — CORE</w:t>
            </w:r>
          </w:p>
        </w:tc>
        <w:tc>
          <w:tcPr>
            <w:tcW w:type="dxa" w:w="1542"/>
          </w:tcPr>
          <w:p/>
        </w:tc>
        <w:tc>
          <w:tcPr>
            <w:tcW w:type="dxa" w:w="1542"/>
          </w:tcPr>
          <w:p/>
        </w:tc>
        <w:tc>
          <w:tcPr>
            <w:tcW w:type="dxa" w:w="1542"/>
          </w:tcPr>
          <w:p/>
        </w:tc>
        <w:tc>
          <w:tcPr>
            <w:tcW w:type="dxa" w:w="1542"/>
          </w:tcPr>
          <w:p/>
        </w:tc>
      </w:tr>
      <w:tr>
        <w:tc>
          <w:tcPr>
            <w:tcW w:type="dxa" w:w="1542"/>
          </w:tcPr>
          <w:p>
            <w:pPr>
              <w:spacing w:before="0" w:after="0"/>
              <w:ind w:firstLine="0"/>
              <w:jc w:val="left"/>
            </w:pPr>
            <w:r>
              <w:rPr>
                <w:rFonts w:ascii="Times New Roman" w:hAnsi="Times New Roman"/>
                <w:sz w:val="22"/>
              </w:rPr>
              <w:t>KPI-EHA-01</w:t>
            </w:r>
          </w:p>
        </w:tc>
        <w:tc>
          <w:tcPr>
            <w:tcW w:type="dxa" w:w="1542"/>
          </w:tcPr>
          <w:p>
            <w:pPr>
              <w:spacing w:before="0" w:after="0"/>
              <w:ind w:firstLine="0"/>
              <w:jc w:val="left"/>
            </w:pPr>
            <w:r>
              <w:rPr>
                <w:rFonts w:ascii="Times New Roman" w:hAnsi="Times New Roman"/>
                <w:sz w:val="22"/>
              </w:rPr>
              <w:t>Cross-Vector Synergy Gain (CVSG)</w:t>
            </w:r>
          </w:p>
        </w:tc>
        <w:tc>
          <w:tcPr>
            <w:tcW w:type="dxa" w:w="1542"/>
          </w:tcPr>
          <w:p>
            <w:pPr>
              <w:spacing w:before="0" w:after="0"/>
              <w:ind w:firstLine="0"/>
              <w:jc w:val="left"/>
            </w:pPr>
            <w:r>
              <w:rPr>
                <w:rFonts w:ascii="Times New Roman" w:hAnsi="Times New Roman"/>
                <w:sz w:val="22"/>
              </w:rPr>
              <w:t>≥8% (2030); ≥15% (2035)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(Venituri_EHA – Σ Venituri_per_vector_izolat) / Σ Venituri_per_vector_izolat × 100; calculat anual prin comparare cu scenariul de referință mono-vector</w:t>
            </w:r>
          </w:p>
        </w:tc>
      </w:tr>
      <w:tr>
        <w:tc>
          <w:tcPr>
            <w:tcW w:type="dxa" w:w="1542"/>
          </w:tcPr>
          <w:p>
            <w:pPr>
              <w:spacing w:before="0" w:after="0"/>
              <w:ind w:firstLine="0"/>
              <w:jc w:val="left"/>
            </w:pPr>
            <w:r>
              <w:rPr>
                <w:rFonts w:ascii="Times New Roman" w:hAnsi="Times New Roman"/>
                <w:sz w:val="22"/>
              </w:rPr>
              <w:t>KPI-EHA-02</w:t>
            </w:r>
          </w:p>
        </w:tc>
        <w:tc>
          <w:tcPr>
            <w:tcW w:type="dxa" w:w="1542"/>
          </w:tcPr>
          <w:p>
            <w:pPr>
              <w:spacing w:before="0" w:after="0"/>
              <w:ind w:firstLine="0"/>
              <w:jc w:val="left"/>
            </w:pPr>
            <w:r>
              <w:rPr>
                <w:rFonts w:ascii="Times New Roman" w:hAnsi="Times New Roman"/>
                <w:sz w:val="22"/>
              </w:rPr>
              <w:t>Financial Holistic Delta (FHD)</w:t>
            </w:r>
          </w:p>
        </w:tc>
        <w:tc>
          <w:tcPr>
            <w:tcW w:type="dxa" w:w="1542"/>
          </w:tcPr>
          <w:p>
            <w:pPr>
              <w:spacing w:before="0" w:after="0"/>
              <w:ind w:firstLine="0"/>
              <w:jc w:val="left"/>
            </w:pPr>
            <w:r>
              <w:rPr>
                <w:rFonts w:ascii="Times New Roman" w:hAnsi="Times New Roman"/>
                <w:sz w:val="22"/>
              </w:rPr>
              <w:t>≥20% (2030); ≥30% (2035)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(Venituri_EHA_total – Venituri_electric_only) / Venituri_electric_only × 100; include OPCOM + DR + CV + ETS + tokeni + Nexus</w:t>
            </w:r>
          </w:p>
        </w:tc>
      </w:tr>
      <w:tr>
        <w:tc>
          <w:tcPr>
            <w:tcW w:type="dxa" w:w="1542"/>
          </w:tcPr>
          <w:p>
            <w:pPr>
              <w:spacing w:before="0" w:after="0"/>
              <w:ind w:firstLine="0"/>
              <w:jc w:val="left"/>
            </w:pPr>
            <w:r>
              <w:rPr>
                <w:rFonts w:ascii="Times New Roman" w:hAnsi="Times New Roman"/>
                <w:sz w:val="22"/>
              </w:rPr>
              <w:t>KPI-EHA-03</w:t>
            </w:r>
          </w:p>
        </w:tc>
        <w:tc>
          <w:tcPr>
            <w:tcW w:type="dxa" w:w="1542"/>
          </w:tcPr>
          <w:p>
            <w:pPr>
              <w:spacing w:before="0" w:after="0"/>
              <w:ind w:firstLine="0"/>
              <w:jc w:val="left"/>
            </w:pPr>
            <w:r>
              <w:rPr>
                <w:rFonts w:ascii="Times New Roman" w:hAnsi="Times New Roman"/>
                <w:sz w:val="22"/>
              </w:rPr>
              <w:t>Holistic Optimality Gap (HOG)</w:t>
            </w:r>
          </w:p>
        </w:tc>
        <w:tc>
          <w:tcPr>
            <w:tcW w:type="dxa" w:w="1542"/>
          </w:tcPr>
          <w:p>
            <w:pPr>
              <w:spacing w:before="0" w:after="0"/>
              <w:ind w:firstLine="0"/>
              <w:jc w:val="left"/>
            </w:pPr>
            <w:r>
              <w:rPr>
                <w:rFonts w:ascii="Times New Roman" w:hAnsi="Times New Roman"/>
                <w:sz w:val="22"/>
              </w:rPr>
              <w:t>≤5% în regim staționar</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(F_EHA_teoretic – F_EHA_realizat) / F_EHA_teoretic × 100; F_teoretic = soluția relaxată fără constrângeri tehnice; calculat lunar</w:t>
            </w:r>
          </w:p>
        </w:tc>
      </w:tr>
      <w:tr>
        <w:tc>
          <w:tcPr>
            <w:tcW w:type="dxa" w:w="1542"/>
          </w:tcPr>
          <w:p>
            <w:pPr>
              <w:spacing w:before="0" w:after="0"/>
              <w:ind w:firstLine="0"/>
              <w:jc w:val="left"/>
            </w:pPr>
            <w:r>
              <w:rPr>
                <w:rFonts w:ascii="Times New Roman" w:hAnsi="Times New Roman"/>
                <w:sz w:val="22"/>
              </w:rPr>
              <w:t>KPI-EHA-04</w:t>
            </w:r>
          </w:p>
        </w:tc>
        <w:tc>
          <w:tcPr>
            <w:tcW w:type="dxa" w:w="1542"/>
          </w:tcPr>
          <w:p>
            <w:pPr>
              <w:spacing w:before="0" w:after="0"/>
              <w:ind w:firstLine="0"/>
              <w:jc w:val="left"/>
            </w:pPr>
            <w:r>
              <w:rPr>
                <w:rFonts w:ascii="Times New Roman" w:hAnsi="Times New Roman"/>
                <w:sz w:val="22"/>
              </w:rPr>
              <w:t>Vectori Agregați Simultan</w:t>
            </w:r>
          </w:p>
        </w:tc>
        <w:tc>
          <w:tcPr>
            <w:tcW w:type="dxa" w:w="1542"/>
          </w:tcPr>
          <w:p>
            <w:pPr>
              <w:spacing w:before="0" w:after="0"/>
              <w:ind w:firstLine="0"/>
              <w:jc w:val="left"/>
            </w:pPr>
            <w:r>
              <w:rPr>
                <w:rFonts w:ascii="Times New Roman" w:hAnsi="Times New Roman"/>
                <w:sz w:val="22"/>
              </w:rPr>
              <w:t>≥10 (2026); ≥13 (2028)</w:t>
            </w:r>
          </w:p>
        </w:tc>
        <w:tc>
          <w:tcPr>
            <w:tcW w:type="dxa" w:w="1542"/>
          </w:tcPr>
          <w:p>
            <w:pPr>
              <w:spacing w:before="0" w:after="0"/>
              <w:ind w:firstLine="0"/>
              <w:jc w:val="left"/>
            </w:pPr>
            <w:r>
              <w:rPr>
                <w:rFonts w:ascii="Times New Roman" w:hAnsi="Times New Roman"/>
                <w:sz w:val="22"/>
              </w:rPr>
              <w:t>nr.</w:t>
            </w:r>
          </w:p>
        </w:tc>
        <w:tc>
          <w:tcPr>
            <w:tcW w:type="dxa" w:w="1542"/>
          </w:tcPr>
          <w:p>
            <w:pPr>
              <w:spacing w:before="0" w:after="0"/>
              <w:ind w:firstLine="0"/>
              <w:jc w:val="left"/>
            </w:pPr>
            <w:r>
              <w:rPr>
                <w:rFonts w:ascii="Times New Roman" w:hAnsi="Times New Roman"/>
                <w:sz w:val="22"/>
              </w:rPr>
              <w:t>Count vectori cu date live în EMS + decizie de dispatch activă (nu doar monitorizare pasivă) în orice interval de 15 min</w:t>
            </w:r>
          </w:p>
        </w:tc>
      </w:tr>
      <w:tr>
        <w:tc>
          <w:tcPr>
            <w:tcW w:type="dxa" w:w="1542"/>
          </w:tcPr>
          <w:p>
            <w:pPr>
              <w:spacing w:before="0" w:after="0"/>
              <w:ind w:firstLine="0"/>
              <w:jc w:val="left"/>
            </w:pPr>
            <w:r>
              <w:rPr>
                <w:rFonts w:ascii="Times New Roman" w:hAnsi="Times New Roman"/>
                <w:sz w:val="22"/>
              </w:rPr>
              <w:t>KPI-EHA-05</w:t>
            </w:r>
          </w:p>
        </w:tc>
        <w:tc>
          <w:tcPr>
            <w:tcW w:type="dxa" w:w="1542"/>
          </w:tcPr>
          <w:p>
            <w:pPr>
              <w:spacing w:before="0" w:after="0"/>
              <w:ind w:firstLine="0"/>
              <w:jc w:val="left"/>
            </w:pPr>
            <w:r>
              <w:rPr>
                <w:rFonts w:ascii="Times New Roman" w:hAnsi="Times New Roman"/>
                <w:sz w:val="22"/>
              </w:rPr>
              <w:t>Multi-Vector Coverage</w:t>
            </w:r>
          </w:p>
        </w:tc>
        <w:tc>
          <w:tcPr>
            <w:tcW w:type="dxa" w:w="1542"/>
          </w:tcPr>
          <w:p>
            <w:pPr>
              <w:spacing w:before="0" w:after="0"/>
              <w:ind w:firstLine="0"/>
              <w:jc w:val="left"/>
            </w:pPr>
            <w:r>
              <w:rPr>
                <w:rFonts w:ascii="Times New Roman" w:hAnsi="Times New Roman"/>
                <w:sz w:val="22"/>
              </w:rPr>
              <w:t>100% (zero flux neoptimizat)</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Verificare că fiecare flux identificat în audit are vector corespunzător în modelul EHA; audit trimestrial EnEx Institute</w:t>
            </w:r>
          </w:p>
        </w:tc>
      </w:tr>
      <w:tr>
        <w:tc>
          <w:tcPr>
            <w:tcW w:type="dxa" w:w="1542"/>
          </w:tcPr>
          <w:p>
            <w:pPr>
              <w:spacing w:before="0" w:after="0"/>
              <w:ind w:firstLine="0"/>
              <w:jc w:val="left"/>
            </w:pPr>
            <w:r>
              <w:rPr>
                <w:rFonts w:ascii="Times New Roman" w:hAnsi="Times New Roman"/>
                <w:sz w:val="22"/>
              </w:rPr>
              <w:t>KPI EXERGETICI ȘI TERMODINAMICI</w:t>
            </w:r>
          </w:p>
        </w:tc>
        <w:tc>
          <w:tcPr>
            <w:tcW w:type="dxa" w:w="1542"/>
          </w:tcPr>
          <w:p/>
        </w:tc>
        <w:tc>
          <w:tcPr>
            <w:tcW w:type="dxa" w:w="1542"/>
          </w:tcPr>
          <w:p/>
        </w:tc>
        <w:tc>
          <w:tcPr>
            <w:tcW w:type="dxa" w:w="1542"/>
          </w:tcPr>
          <w:p/>
        </w:tc>
        <w:tc>
          <w:tcPr>
            <w:tcW w:type="dxa" w:w="1542"/>
          </w:tcPr>
          <w:p/>
        </w:tc>
      </w:tr>
      <w:tr>
        <w:tc>
          <w:tcPr>
            <w:tcW w:type="dxa" w:w="1542"/>
          </w:tcPr>
          <w:p>
            <w:pPr>
              <w:spacing w:before="0" w:after="0"/>
              <w:ind w:firstLine="0"/>
              <w:jc w:val="left"/>
            </w:pPr>
            <w:r>
              <w:rPr>
                <w:rFonts w:ascii="Times New Roman" w:hAnsi="Times New Roman"/>
                <w:sz w:val="22"/>
              </w:rPr>
              <w:t>KPI-EHA-06</w:t>
            </w:r>
          </w:p>
        </w:tc>
        <w:tc>
          <w:tcPr>
            <w:tcW w:type="dxa" w:w="1542"/>
          </w:tcPr>
          <w:p>
            <w:pPr>
              <w:spacing w:before="0" w:after="0"/>
              <w:ind w:firstLine="0"/>
              <w:jc w:val="left"/>
            </w:pPr>
            <w:r>
              <w:rPr>
                <w:rFonts w:ascii="Times New Roman" w:hAnsi="Times New Roman"/>
                <w:sz w:val="22"/>
              </w:rPr>
              <w:t>Eficiență exergetică agregată sistem (η_ex)</w:t>
            </w:r>
          </w:p>
        </w:tc>
        <w:tc>
          <w:tcPr>
            <w:tcW w:type="dxa" w:w="1542"/>
          </w:tcPr>
          <w:p>
            <w:pPr>
              <w:spacing w:before="0" w:after="0"/>
              <w:ind w:firstLine="0"/>
              <w:jc w:val="left"/>
            </w:pPr>
            <w:r>
              <w:rPr>
                <w:rFonts w:ascii="Times New Roman" w:hAnsi="Times New Roman"/>
                <w:sz w:val="22"/>
              </w:rPr>
              <w:t>≥55% (Clasa B); ≥70% (Clasa A)</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η_ex = ΣEx_useful_output / ΣEx_input total; calculat pe toți vectorii simultan; ponderare cu debitul exergetic</w:t>
            </w:r>
          </w:p>
        </w:tc>
      </w:tr>
      <w:tr>
        <w:tc>
          <w:tcPr>
            <w:tcW w:type="dxa" w:w="1542"/>
          </w:tcPr>
          <w:p>
            <w:pPr>
              <w:spacing w:before="0" w:after="0"/>
              <w:ind w:firstLine="0"/>
              <w:jc w:val="left"/>
            </w:pPr>
            <w:r>
              <w:rPr>
                <w:rFonts w:ascii="Times New Roman" w:hAnsi="Times New Roman"/>
                <w:sz w:val="22"/>
              </w:rPr>
              <w:t>KPI-EHA-07</w:t>
            </w:r>
          </w:p>
        </w:tc>
        <w:tc>
          <w:tcPr>
            <w:tcW w:type="dxa" w:w="1542"/>
          </w:tcPr>
          <w:p>
            <w:pPr>
              <w:spacing w:before="0" w:after="0"/>
              <w:ind w:firstLine="0"/>
              <w:jc w:val="left"/>
            </w:pPr>
            <w:r>
              <w:rPr>
                <w:rFonts w:ascii="Times New Roman" w:hAnsi="Times New Roman"/>
                <w:sz w:val="22"/>
              </w:rPr>
              <w:t>Quality Matching Factor mediu rețea (QMF_net)</w:t>
            </w:r>
          </w:p>
        </w:tc>
        <w:tc>
          <w:tcPr>
            <w:tcW w:type="dxa" w:w="1542"/>
          </w:tcPr>
          <w:p>
            <w:pPr>
              <w:spacing w:before="0" w:after="0"/>
              <w:ind w:firstLine="0"/>
              <w:jc w:val="left"/>
            </w:pPr>
            <w:r>
              <w:rPr>
                <w:rFonts w:ascii="Times New Roman" w:hAnsi="Times New Roman"/>
                <w:sz w:val="22"/>
              </w:rPr>
              <w:t>≥0.75 (Clasa QMF-2)</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QMF_net = Σ(Ex_cerere,j) / Σ(Ex_furnizat,k) per interval 15 min; media ponderată per vector termic N1/N2/N3</w:t>
            </w:r>
          </w:p>
        </w:tc>
      </w:tr>
      <w:tr>
        <w:tc>
          <w:tcPr>
            <w:tcW w:type="dxa" w:w="1542"/>
          </w:tcPr>
          <w:p>
            <w:pPr>
              <w:spacing w:before="0" w:after="0"/>
              <w:ind w:firstLine="0"/>
              <w:jc w:val="left"/>
            </w:pPr>
            <w:r>
              <w:rPr>
                <w:rFonts w:ascii="Times New Roman" w:hAnsi="Times New Roman"/>
                <w:sz w:val="22"/>
              </w:rPr>
              <w:t>KPI-EHA-08</w:t>
            </w:r>
          </w:p>
        </w:tc>
        <w:tc>
          <w:tcPr>
            <w:tcW w:type="dxa" w:w="1542"/>
          </w:tcPr>
          <w:p>
            <w:pPr>
              <w:spacing w:before="0" w:after="0"/>
              <w:ind w:firstLine="0"/>
              <w:jc w:val="left"/>
            </w:pPr>
            <w:r>
              <w:rPr>
                <w:rFonts w:ascii="Times New Roman" w:hAnsi="Times New Roman"/>
                <w:sz w:val="22"/>
              </w:rPr>
              <w:t>Exergie distrusă prin mismatch (IME)</w:t>
            </w:r>
          </w:p>
        </w:tc>
        <w:tc>
          <w:tcPr>
            <w:tcW w:type="dxa" w:w="1542"/>
          </w:tcPr>
          <w:p>
            <w:pPr>
              <w:spacing w:before="0" w:after="0"/>
              <w:ind w:firstLine="0"/>
              <w:jc w:val="left"/>
            </w:pPr>
            <w:r>
              <w:rPr>
                <w:rFonts w:ascii="Times New Roman" w:hAnsi="Times New Roman"/>
                <w:sz w:val="22"/>
              </w:rPr>
              <w:t>≤25%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IME = 1 – QMF_net; calculat continuu; target reducere IME vs. sistem convențional (IME clasic 60–80%)</w:t>
            </w:r>
          </w:p>
        </w:tc>
      </w:tr>
      <w:tr>
        <w:tc>
          <w:tcPr>
            <w:tcW w:type="dxa" w:w="1542"/>
          </w:tcPr>
          <w:p>
            <w:pPr>
              <w:spacing w:before="0" w:after="0"/>
              <w:ind w:firstLine="0"/>
              <w:jc w:val="left"/>
            </w:pPr>
            <w:r>
              <w:rPr>
                <w:rFonts w:ascii="Times New Roman" w:hAnsi="Times New Roman"/>
                <w:sz w:val="22"/>
              </w:rPr>
              <w:t>KPI-EHA-09</w:t>
            </w:r>
          </w:p>
        </w:tc>
        <w:tc>
          <w:tcPr>
            <w:tcW w:type="dxa" w:w="1542"/>
          </w:tcPr>
          <w:p>
            <w:pPr>
              <w:spacing w:before="0" w:after="0"/>
              <w:ind w:firstLine="0"/>
              <w:jc w:val="left"/>
            </w:pPr>
            <w:r>
              <w:rPr>
                <w:rFonts w:ascii="Times New Roman" w:hAnsi="Times New Roman"/>
                <w:sz w:val="22"/>
              </w:rPr>
              <w:t>Cascadă termodinamică completă (CTC)</w:t>
            </w:r>
          </w:p>
        </w:tc>
        <w:tc>
          <w:tcPr>
            <w:tcW w:type="dxa" w:w="1542"/>
          </w:tcPr>
          <w:p>
            <w:pPr>
              <w:spacing w:before="0" w:after="0"/>
              <w:ind w:firstLine="0"/>
              <w:jc w:val="left"/>
            </w:pPr>
            <w:r>
              <w:rPr>
                <w:rFonts w:ascii="Times New Roman" w:hAnsi="Times New Roman"/>
                <w:sz w:val="22"/>
              </w:rPr>
              <w:t>≥90% din fluxuri termice</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Fracția din energia termică livrată prin cascadă N1→N2→N3→N4 vs. livrare directă; CTC &lt;90% indică scurtcircuit termic</w:t>
            </w:r>
          </w:p>
        </w:tc>
      </w:tr>
      <w:tr>
        <w:tc>
          <w:tcPr>
            <w:tcW w:type="dxa" w:w="1542"/>
          </w:tcPr>
          <w:p>
            <w:pPr>
              <w:spacing w:before="0" w:after="0"/>
              <w:ind w:firstLine="0"/>
              <w:jc w:val="left"/>
            </w:pPr>
            <w:r>
              <w:rPr>
                <w:rFonts w:ascii="Times New Roman" w:hAnsi="Times New Roman"/>
                <w:sz w:val="22"/>
              </w:rPr>
              <w:t>KPI-EHA-10</w:t>
            </w:r>
          </w:p>
        </w:tc>
        <w:tc>
          <w:tcPr>
            <w:tcW w:type="dxa" w:w="1542"/>
          </w:tcPr>
          <w:p>
            <w:pPr>
              <w:spacing w:before="0" w:after="0"/>
              <w:ind w:firstLine="0"/>
              <w:jc w:val="left"/>
            </w:pPr>
            <w:r>
              <w:rPr>
                <w:rFonts w:ascii="Times New Roman" w:hAnsi="Times New Roman"/>
                <w:sz w:val="22"/>
              </w:rPr>
              <w:t>Exergie recuperată din fluxuri reziduale</w:t>
            </w:r>
          </w:p>
        </w:tc>
        <w:tc>
          <w:tcPr>
            <w:tcW w:type="dxa" w:w="1542"/>
          </w:tcPr>
          <w:p>
            <w:pPr>
              <w:spacing w:before="0" w:after="0"/>
              <w:ind w:firstLine="0"/>
              <w:jc w:val="left"/>
            </w:pPr>
            <w:r>
              <w:rPr>
                <w:rFonts w:ascii="Times New Roman" w:hAnsi="Times New Roman"/>
                <w:sz w:val="22"/>
              </w:rPr>
              <w:t>≥85% identificate</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Ex_recuperat / Ex_rezidual_total identificat în audit; include rezidual industrial, ape uzate, gazele de evacuare CHP</w:t>
            </w:r>
          </w:p>
        </w:tc>
      </w:tr>
      <w:tr>
        <w:tc>
          <w:tcPr>
            <w:tcW w:type="dxa" w:w="1542"/>
          </w:tcPr>
          <w:p>
            <w:pPr>
              <w:spacing w:before="0" w:after="0"/>
              <w:ind w:firstLine="0"/>
              <w:jc w:val="left"/>
            </w:pPr>
            <w:r>
              <w:rPr>
                <w:rFonts w:ascii="Times New Roman" w:hAnsi="Times New Roman"/>
                <w:sz w:val="22"/>
              </w:rPr>
              <w:t>KPI TEMPORALI ȘI OPERAȚIONALI</w:t>
            </w:r>
          </w:p>
        </w:tc>
        <w:tc>
          <w:tcPr>
            <w:tcW w:type="dxa" w:w="1542"/>
          </w:tcPr>
          <w:p/>
        </w:tc>
        <w:tc>
          <w:tcPr>
            <w:tcW w:type="dxa" w:w="1542"/>
          </w:tcPr>
          <w:p/>
        </w:tc>
        <w:tc>
          <w:tcPr>
            <w:tcW w:type="dxa" w:w="1542"/>
          </w:tcPr>
          <w:p/>
        </w:tc>
        <w:tc>
          <w:tcPr>
            <w:tcW w:type="dxa" w:w="1542"/>
          </w:tcPr>
          <w:p/>
        </w:tc>
      </w:tr>
      <w:tr>
        <w:tc>
          <w:tcPr>
            <w:tcW w:type="dxa" w:w="1542"/>
          </w:tcPr>
          <w:p>
            <w:pPr>
              <w:spacing w:before="0" w:after="0"/>
              <w:ind w:firstLine="0"/>
              <w:jc w:val="left"/>
            </w:pPr>
            <w:r>
              <w:rPr>
                <w:rFonts w:ascii="Times New Roman" w:hAnsi="Times New Roman"/>
                <w:sz w:val="22"/>
              </w:rPr>
              <w:t>KPI-EHA-11</w:t>
            </w:r>
          </w:p>
        </w:tc>
        <w:tc>
          <w:tcPr>
            <w:tcW w:type="dxa" w:w="1542"/>
          </w:tcPr>
          <w:p>
            <w:pPr>
              <w:spacing w:before="0" w:after="0"/>
              <w:ind w:firstLine="0"/>
              <w:jc w:val="left"/>
            </w:pPr>
            <w:r>
              <w:rPr>
                <w:rFonts w:ascii="Times New Roman" w:hAnsi="Times New Roman"/>
                <w:sz w:val="22"/>
              </w:rPr>
              <w:t>Holistic Balance Time (HBT)</w:t>
            </w:r>
          </w:p>
        </w:tc>
        <w:tc>
          <w:tcPr>
            <w:tcW w:type="dxa" w:w="1542"/>
          </w:tcPr>
          <w:p>
            <w:pPr>
              <w:spacing w:before="0" w:after="0"/>
              <w:ind w:firstLine="0"/>
              <w:jc w:val="left"/>
            </w:pPr>
            <w:r>
              <w:rPr>
                <w:rFonts w:ascii="Times New Roman" w:hAnsi="Times New Roman"/>
                <w:sz w:val="22"/>
              </w:rPr>
              <w:t>≤15 min recalculare completă</w:t>
            </w:r>
          </w:p>
        </w:tc>
        <w:tc>
          <w:tcPr>
            <w:tcW w:type="dxa" w:w="1542"/>
          </w:tcPr>
          <w:p>
            <w:pPr>
              <w:spacing w:before="0" w:after="0"/>
              <w:ind w:firstLine="0"/>
              <w:jc w:val="left"/>
            </w:pPr>
            <w:r>
              <w:rPr>
                <w:rFonts w:ascii="Times New Roman" w:hAnsi="Times New Roman"/>
                <w:sz w:val="22"/>
              </w:rPr>
              <w:t>min</w:t>
            </w:r>
          </w:p>
        </w:tc>
        <w:tc>
          <w:tcPr>
            <w:tcW w:type="dxa" w:w="1542"/>
          </w:tcPr>
          <w:p>
            <w:pPr>
              <w:spacing w:before="0" w:after="0"/>
              <w:ind w:firstLine="0"/>
              <w:jc w:val="left"/>
            </w:pPr>
            <w:r>
              <w:rPr>
                <w:rFonts w:ascii="Times New Roman" w:hAnsi="Times New Roman"/>
                <w:sz w:val="22"/>
              </w:rPr>
              <w:t>Timp de la modificarea unui input (preț, producție, consum) până la dispatch actualizat pe toți vectorii; măsurat prin EMS logging</w:t>
            </w:r>
          </w:p>
        </w:tc>
      </w:tr>
      <w:tr>
        <w:tc>
          <w:tcPr>
            <w:tcW w:type="dxa" w:w="1542"/>
          </w:tcPr>
          <w:p>
            <w:pPr>
              <w:spacing w:before="0" w:after="0"/>
              <w:ind w:firstLine="0"/>
              <w:jc w:val="left"/>
            </w:pPr>
            <w:r>
              <w:rPr>
                <w:rFonts w:ascii="Times New Roman" w:hAnsi="Times New Roman"/>
                <w:sz w:val="22"/>
              </w:rPr>
              <w:t>KPI-EHA-12</w:t>
            </w:r>
          </w:p>
        </w:tc>
        <w:tc>
          <w:tcPr>
            <w:tcW w:type="dxa" w:w="1542"/>
          </w:tcPr>
          <w:p>
            <w:pPr>
              <w:spacing w:before="0" w:after="0"/>
              <w:ind w:firstLine="0"/>
              <w:jc w:val="left"/>
            </w:pPr>
            <w:r>
              <w:rPr>
                <w:rFonts w:ascii="Times New Roman" w:hAnsi="Times New Roman"/>
                <w:sz w:val="22"/>
              </w:rPr>
              <w:t>Disponibilitate EHA (uptime)</w:t>
            </w:r>
          </w:p>
        </w:tc>
        <w:tc>
          <w:tcPr>
            <w:tcW w:type="dxa" w:w="1542"/>
          </w:tcPr>
          <w:p>
            <w:pPr>
              <w:spacing w:before="0" w:after="0"/>
              <w:ind w:firstLine="0"/>
              <w:jc w:val="left"/>
            </w:pPr>
            <w:r>
              <w:rPr>
                <w:rFonts w:ascii="Times New Roman" w:hAnsi="Times New Roman"/>
                <w:sz w:val="22"/>
              </w:rPr>
              <w:t>≥99.5%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Timp operare normală / timp total × 100; deconectare planificată anunțată cu 48h; fallback euristic sub 3 min la incident</w:t>
            </w:r>
          </w:p>
        </w:tc>
      </w:tr>
      <w:tr>
        <w:tc>
          <w:tcPr>
            <w:tcW w:type="dxa" w:w="1542"/>
          </w:tcPr>
          <w:p>
            <w:pPr>
              <w:spacing w:before="0" w:after="0"/>
              <w:ind w:firstLine="0"/>
              <w:jc w:val="left"/>
            </w:pPr>
            <w:r>
              <w:rPr>
                <w:rFonts w:ascii="Times New Roman" w:hAnsi="Times New Roman"/>
                <w:sz w:val="22"/>
              </w:rPr>
              <w:t>KPI-EHA-13</w:t>
            </w:r>
          </w:p>
        </w:tc>
        <w:tc>
          <w:tcPr>
            <w:tcW w:type="dxa" w:w="1542"/>
          </w:tcPr>
          <w:p>
            <w:pPr>
              <w:spacing w:before="0" w:after="0"/>
              <w:ind w:firstLine="0"/>
              <w:jc w:val="left"/>
            </w:pPr>
            <w:r>
              <w:rPr>
                <w:rFonts w:ascii="Times New Roman" w:hAnsi="Times New Roman"/>
                <w:sz w:val="22"/>
              </w:rPr>
              <w:t>Acuratețe Digital Twin</w:t>
            </w:r>
          </w:p>
        </w:tc>
        <w:tc>
          <w:tcPr>
            <w:tcW w:type="dxa" w:w="1542"/>
          </w:tcPr>
          <w:p>
            <w:pPr>
              <w:spacing w:before="0" w:after="0"/>
              <w:ind w:firstLine="0"/>
              <w:jc w:val="left"/>
            </w:pPr>
            <w:r>
              <w:rPr>
                <w:rFonts w:ascii="Times New Roman" w:hAnsi="Times New Roman"/>
                <w:sz w:val="22"/>
              </w:rPr>
              <w:t>≥95%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Σ|predicție_DT – valoare_reală| / valoare_reală / n × 100; evaluat lunar pe set de test 30 zile din afara setului de antrenare</w:t>
            </w:r>
          </w:p>
        </w:tc>
      </w:tr>
      <w:tr>
        <w:tc>
          <w:tcPr>
            <w:tcW w:type="dxa" w:w="1542"/>
          </w:tcPr>
          <w:p>
            <w:pPr>
              <w:spacing w:before="0" w:after="0"/>
              <w:ind w:firstLine="0"/>
              <w:jc w:val="left"/>
            </w:pPr>
            <w:r>
              <w:rPr>
                <w:rFonts w:ascii="Times New Roman" w:hAnsi="Times New Roman"/>
                <w:sz w:val="22"/>
              </w:rPr>
              <w:t>KPI-EHA-14</w:t>
            </w:r>
          </w:p>
        </w:tc>
        <w:tc>
          <w:tcPr>
            <w:tcW w:type="dxa" w:w="1542"/>
          </w:tcPr>
          <w:p>
            <w:pPr>
              <w:spacing w:before="0" w:after="0"/>
              <w:ind w:firstLine="0"/>
              <w:jc w:val="left"/>
            </w:pPr>
            <w:r>
              <w:rPr>
                <w:rFonts w:ascii="Times New Roman" w:hAnsi="Times New Roman"/>
                <w:sz w:val="22"/>
              </w:rPr>
              <w:t>ScenarioLab Adherence Rate</w:t>
            </w:r>
          </w:p>
        </w:tc>
        <w:tc>
          <w:tcPr>
            <w:tcW w:type="dxa" w:w="1542"/>
          </w:tcPr>
          <w:p>
            <w:pPr>
              <w:spacing w:before="0" w:after="0"/>
              <w:ind w:firstLine="0"/>
              <w:jc w:val="left"/>
            </w:pPr>
            <w:r>
              <w:rPr>
                <w:rFonts w:ascii="Times New Roman" w:hAnsi="Times New Roman"/>
                <w:sz w:val="22"/>
              </w:rPr>
              <w:t>≥85%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Fracția intervalelor de 15 min în care sistemul operează în limitele scenariului activ; outlier-ii sunt logate și analizați</w:t>
            </w:r>
          </w:p>
        </w:tc>
      </w:tr>
      <w:tr>
        <w:tc>
          <w:tcPr>
            <w:tcW w:type="dxa" w:w="1542"/>
          </w:tcPr>
          <w:p>
            <w:pPr>
              <w:spacing w:before="0" w:after="0"/>
              <w:ind w:firstLine="0"/>
              <w:jc w:val="left"/>
            </w:pPr>
            <w:r>
              <w:rPr>
                <w:rFonts w:ascii="Times New Roman" w:hAnsi="Times New Roman"/>
                <w:sz w:val="22"/>
              </w:rPr>
              <w:t>KPI-EHA-15</w:t>
            </w:r>
          </w:p>
        </w:tc>
        <w:tc>
          <w:tcPr>
            <w:tcW w:type="dxa" w:w="1542"/>
          </w:tcPr>
          <w:p>
            <w:pPr>
              <w:spacing w:before="0" w:after="0"/>
              <w:ind w:firstLine="0"/>
              <w:jc w:val="left"/>
            </w:pPr>
            <w:r>
              <w:rPr>
                <w:rFonts w:ascii="Times New Roman" w:hAnsi="Times New Roman"/>
                <w:sz w:val="22"/>
              </w:rPr>
              <w:t>Latență IoT → decizie dispatch</w:t>
            </w:r>
          </w:p>
        </w:tc>
        <w:tc>
          <w:tcPr>
            <w:tcW w:type="dxa" w:w="1542"/>
          </w:tcPr>
          <w:p>
            <w:pPr>
              <w:spacing w:before="0" w:after="0"/>
              <w:ind w:firstLine="0"/>
              <w:jc w:val="left"/>
            </w:pPr>
            <w:r>
              <w:rPr>
                <w:rFonts w:ascii="Times New Roman" w:hAnsi="Times New Roman"/>
                <w:sz w:val="22"/>
              </w:rPr>
              <w:t>≤30 secunde</w:t>
            </w:r>
          </w:p>
        </w:tc>
        <w:tc>
          <w:tcPr>
            <w:tcW w:type="dxa" w:w="1542"/>
          </w:tcPr>
          <w:p>
            <w:pPr>
              <w:spacing w:before="0" w:after="0"/>
              <w:ind w:firstLine="0"/>
              <w:jc w:val="left"/>
            </w:pPr>
            <w:r>
              <w:rPr>
                <w:rFonts w:ascii="Times New Roman" w:hAnsi="Times New Roman"/>
                <w:sz w:val="22"/>
              </w:rPr>
              <w:t>s</w:t>
            </w:r>
          </w:p>
        </w:tc>
        <w:tc>
          <w:tcPr>
            <w:tcW w:type="dxa" w:w="1542"/>
          </w:tcPr>
          <w:p>
            <w:pPr>
              <w:spacing w:before="0" w:after="0"/>
              <w:ind w:firstLine="0"/>
              <w:jc w:val="left"/>
            </w:pPr>
            <w:r>
              <w:rPr>
                <w:rFonts w:ascii="Times New Roman" w:hAnsi="Times New Roman"/>
                <w:sz w:val="22"/>
              </w:rPr>
              <w:t>De la timestamp senzor la comanda transmisă actuatorului; include MQTT, Edge processing, MILP rezolvare și confirmare</w:t>
            </w:r>
          </w:p>
        </w:tc>
      </w:tr>
      <w:tr>
        <w:tc>
          <w:tcPr>
            <w:tcW w:type="dxa" w:w="1542"/>
          </w:tcPr>
          <w:p>
            <w:pPr>
              <w:spacing w:before="0" w:after="0"/>
              <w:ind w:firstLine="0"/>
              <w:jc w:val="left"/>
            </w:pPr>
            <w:r>
              <w:rPr>
                <w:rFonts w:ascii="Times New Roman" w:hAnsi="Times New Roman"/>
                <w:sz w:val="22"/>
              </w:rPr>
              <w:t>KPI FINANCIARI ȘI DE PIAȚĂ</w:t>
            </w:r>
          </w:p>
        </w:tc>
        <w:tc>
          <w:tcPr>
            <w:tcW w:type="dxa" w:w="1542"/>
          </w:tcPr>
          <w:p/>
        </w:tc>
        <w:tc>
          <w:tcPr>
            <w:tcW w:type="dxa" w:w="1542"/>
          </w:tcPr>
          <w:p/>
        </w:tc>
        <w:tc>
          <w:tcPr>
            <w:tcW w:type="dxa" w:w="1542"/>
          </w:tcPr>
          <w:p/>
        </w:tc>
        <w:tc>
          <w:tcPr>
            <w:tcW w:type="dxa" w:w="1542"/>
          </w:tcPr>
          <w:p/>
        </w:tc>
      </w:tr>
      <w:tr>
        <w:tc>
          <w:tcPr>
            <w:tcW w:type="dxa" w:w="1542"/>
          </w:tcPr>
          <w:p>
            <w:pPr>
              <w:spacing w:before="0" w:after="0"/>
              <w:ind w:firstLine="0"/>
              <w:jc w:val="left"/>
            </w:pPr>
            <w:r>
              <w:rPr>
                <w:rFonts w:ascii="Times New Roman" w:hAnsi="Times New Roman"/>
                <w:sz w:val="22"/>
              </w:rPr>
              <w:t>KPI-EHA-16</w:t>
            </w:r>
          </w:p>
        </w:tc>
        <w:tc>
          <w:tcPr>
            <w:tcW w:type="dxa" w:w="1542"/>
          </w:tcPr>
          <w:p>
            <w:pPr>
              <w:spacing w:before="0" w:after="0"/>
              <w:ind w:firstLine="0"/>
              <w:jc w:val="left"/>
            </w:pPr>
            <w:r>
              <w:rPr>
                <w:rFonts w:ascii="Times New Roman" w:hAnsi="Times New Roman"/>
                <w:sz w:val="22"/>
              </w:rPr>
              <w:t>Revenue Stacking Index (RSI)</w:t>
            </w:r>
          </w:p>
        </w:tc>
        <w:tc>
          <w:tcPr>
            <w:tcW w:type="dxa" w:w="1542"/>
          </w:tcPr>
          <w:p>
            <w:pPr>
              <w:spacing w:before="0" w:after="0"/>
              <w:ind w:firstLine="0"/>
              <w:jc w:val="left"/>
            </w:pPr>
            <w:r>
              <w:rPr>
                <w:rFonts w:ascii="Times New Roman" w:hAnsi="Times New Roman"/>
                <w:sz w:val="22"/>
              </w:rPr>
              <w:t>≥4 surse active simultan</w:t>
            </w:r>
          </w:p>
        </w:tc>
        <w:tc>
          <w:tcPr>
            <w:tcW w:type="dxa" w:w="1542"/>
          </w:tcPr>
          <w:p>
            <w:pPr>
              <w:spacing w:before="0" w:after="0"/>
              <w:ind w:firstLine="0"/>
              <w:jc w:val="left"/>
            </w:pPr>
            <w:r>
              <w:rPr>
                <w:rFonts w:ascii="Times New Roman" w:hAnsi="Times New Roman"/>
                <w:sz w:val="22"/>
              </w:rPr>
              <w:t>nr.</w:t>
            </w:r>
          </w:p>
        </w:tc>
        <w:tc>
          <w:tcPr>
            <w:tcW w:type="dxa" w:w="1542"/>
          </w:tcPr>
          <w:p>
            <w:pPr>
              <w:spacing w:before="0" w:after="0"/>
              <w:ind w:firstLine="0"/>
              <w:jc w:val="left"/>
            </w:pPr>
            <w:r>
              <w:rPr>
                <w:rFonts w:ascii="Times New Roman" w:hAnsi="Times New Roman"/>
                <w:sz w:val="22"/>
              </w:rPr>
              <w:t>Count surselor de venituri active simultan: OPCOM + DR + CV + ETS + tokeni + Nexus; RSI &lt;2 indică subutilizare capacitate EHA</w:t>
            </w:r>
          </w:p>
        </w:tc>
      </w:tr>
      <w:tr>
        <w:tc>
          <w:tcPr>
            <w:tcW w:type="dxa" w:w="1542"/>
          </w:tcPr>
          <w:p>
            <w:pPr>
              <w:spacing w:before="0" w:after="0"/>
              <w:ind w:firstLine="0"/>
              <w:jc w:val="left"/>
            </w:pPr>
            <w:r>
              <w:rPr>
                <w:rFonts w:ascii="Times New Roman" w:hAnsi="Times New Roman"/>
                <w:sz w:val="22"/>
              </w:rPr>
              <w:t>KPI-EHA-17</w:t>
            </w:r>
          </w:p>
        </w:tc>
        <w:tc>
          <w:tcPr>
            <w:tcW w:type="dxa" w:w="1542"/>
          </w:tcPr>
          <w:p>
            <w:pPr>
              <w:spacing w:before="0" w:after="0"/>
              <w:ind w:firstLine="0"/>
              <w:jc w:val="left"/>
            </w:pPr>
            <w:r>
              <w:rPr>
                <w:rFonts w:ascii="Times New Roman" w:hAnsi="Times New Roman"/>
                <w:sz w:val="22"/>
              </w:rPr>
              <w:t>Participare piețe simultane</w:t>
            </w:r>
          </w:p>
        </w:tc>
        <w:tc>
          <w:tcPr>
            <w:tcW w:type="dxa" w:w="1542"/>
          </w:tcPr>
          <w:p>
            <w:pPr>
              <w:spacing w:before="0" w:after="0"/>
              <w:ind w:firstLine="0"/>
              <w:jc w:val="left"/>
            </w:pPr>
            <w:r>
              <w:rPr>
                <w:rFonts w:ascii="Times New Roman" w:hAnsi="Times New Roman"/>
                <w:sz w:val="22"/>
              </w:rPr>
              <w:t>≥3 piețe active</w:t>
            </w:r>
          </w:p>
        </w:tc>
        <w:tc>
          <w:tcPr>
            <w:tcW w:type="dxa" w:w="1542"/>
          </w:tcPr>
          <w:p>
            <w:pPr>
              <w:spacing w:before="0" w:after="0"/>
              <w:ind w:firstLine="0"/>
              <w:jc w:val="left"/>
            </w:pPr>
            <w:r>
              <w:rPr>
                <w:rFonts w:ascii="Times New Roman" w:hAnsi="Times New Roman"/>
                <w:sz w:val="22"/>
              </w:rPr>
              <w:t>nr.</w:t>
            </w:r>
          </w:p>
        </w:tc>
        <w:tc>
          <w:tcPr>
            <w:tcW w:type="dxa" w:w="1542"/>
          </w:tcPr>
          <w:p>
            <w:pPr>
              <w:spacing w:before="0" w:after="0"/>
              <w:ind w:firstLine="0"/>
              <w:jc w:val="left"/>
            </w:pPr>
            <w:r>
              <w:rPr>
                <w:rFonts w:ascii="Times New Roman" w:hAnsi="Times New Roman"/>
                <w:sz w:val="22"/>
              </w:rPr>
              <w:t>Piețe pe care EHA participă activ în orice lună calendaristică: spot PZU + intraday PI + echilibrare + certificate</w:t>
            </w:r>
          </w:p>
        </w:tc>
      </w:tr>
      <w:tr>
        <w:tc>
          <w:tcPr>
            <w:tcW w:type="dxa" w:w="1542"/>
          </w:tcPr>
          <w:p>
            <w:pPr>
              <w:spacing w:before="0" w:after="0"/>
              <w:ind w:firstLine="0"/>
              <w:jc w:val="left"/>
            </w:pPr>
            <w:r>
              <w:rPr>
                <w:rFonts w:ascii="Times New Roman" w:hAnsi="Times New Roman"/>
                <w:sz w:val="22"/>
              </w:rPr>
              <w:t>KPI-EHA-18</w:t>
            </w:r>
          </w:p>
        </w:tc>
        <w:tc>
          <w:tcPr>
            <w:tcW w:type="dxa" w:w="1542"/>
          </w:tcPr>
          <w:p>
            <w:pPr>
              <w:spacing w:before="0" w:after="0"/>
              <w:ind w:firstLine="0"/>
              <w:jc w:val="left"/>
            </w:pPr>
            <w:r>
              <w:rPr>
                <w:rFonts w:ascii="Times New Roman" w:hAnsi="Times New Roman"/>
                <w:sz w:val="22"/>
              </w:rPr>
              <w:t>Autonomie energetică comunitară</w:t>
            </w:r>
          </w:p>
        </w:tc>
        <w:tc>
          <w:tcPr>
            <w:tcW w:type="dxa" w:w="1542"/>
          </w:tcPr>
          <w:p>
            <w:pPr>
              <w:spacing w:before="0" w:after="0"/>
              <w:ind w:firstLine="0"/>
              <w:jc w:val="left"/>
            </w:pPr>
            <w:r>
              <w:rPr>
                <w:rFonts w:ascii="Times New Roman" w:hAnsi="Times New Roman"/>
                <w:sz w:val="22"/>
              </w:rPr>
              <w:t>≥85%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Energie produsă local / consum total × 100; include toți vectorii; target ≥72h island mode electric în caz de deconectare DSO</w:t>
            </w:r>
          </w:p>
        </w:tc>
      </w:tr>
      <w:tr>
        <w:tc>
          <w:tcPr>
            <w:tcW w:type="dxa" w:w="1542"/>
          </w:tcPr>
          <w:p>
            <w:pPr>
              <w:spacing w:before="0" w:after="0"/>
              <w:ind w:firstLine="0"/>
              <w:jc w:val="left"/>
            </w:pPr>
            <w:r>
              <w:rPr>
                <w:rFonts w:ascii="Times New Roman" w:hAnsi="Times New Roman"/>
                <w:sz w:val="22"/>
              </w:rPr>
              <w:t>KPI-EHA-19</w:t>
            </w:r>
          </w:p>
        </w:tc>
        <w:tc>
          <w:tcPr>
            <w:tcW w:type="dxa" w:w="1542"/>
          </w:tcPr>
          <w:p>
            <w:pPr>
              <w:spacing w:before="0" w:after="0"/>
              <w:ind w:firstLine="0"/>
              <w:jc w:val="left"/>
            </w:pPr>
            <w:r>
              <w:rPr>
                <w:rFonts w:ascii="Times New Roman" w:hAnsi="Times New Roman"/>
                <w:sz w:val="22"/>
              </w:rPr>
              <w:t>Economii vs. scenariu convențional</w:t>
            </w:r>
          </w:p>
        </w:tc>
        <w:tc>
          <w:tcPr>
            <w:tcW w:type="dxa" w:w="1542"/>
          </w:tcPr>
          <w:p>
            <w:pPr>
              <w:spacing w:before="0" w:after="0"/>
              <w:ind w:firstLine="0"/>
              <w:jc w:val="left"/>
            </w:pPr>
            <w:r>
              <w:rPr>
                <w:rFonts w:ascii="Times New Roman" w:hAnsi="Times New Roman"/>
                <w:sz w:val="22"/>
              </w:rPr>
              <w:t>≥40% (2030); ≥60% (2035)</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Facturile energetice agregate ale membrilor Coop vs. tariful standard furnizor implicit; calculat anual per gospodărie</w:t>
            </w:r>
          </w:p>
        </w:tc>
      </w:tr>
      <w:tr>
        <w:tc>
          <w:tcPr>
            <w:tcW w:type="dxa" w:w="1542"/>
          </w:tcPr>
          <w:p>
            <w:pPr>
              <w:spacing w:before="0" w:after="0"/>
              <w:ind w:firstLine="0"/>
              <w:jc w:val="left"/>
            </w:pPr>
            <w:r>
              <w:rPr>
                <w:rFonts w:ascii="Times New Roman" w:hAnsi="Times New Roman"/>
                <w:sz w:val="22"/>
              </w:rPr>
              <w:t>KPI-EHA-20</w:t>
            </w:r>
          </w:p>
        </w:tc>
        <w:tc>
          <w:tcPr>
            <w:tcW w:type="dxa" w:w="1542"/>
          </w:tcPr>
          <w:p>
            <w:pPr>
              <w:spacing w:before="0" w:after="0"/>
              <w:ind w:firstLine="0"/>
              <w:jc w:val="left"/>
            </w:pPr>
            <w:r>
              <w:rPr>
                <w:rFonts w:ascii="Times New Roman" w:hAnsi="Times New Roman"/>
                <w:sz w:val="22"/>
              </w:rPr>
              <w:t>Payback investiție infrastructură</w:t>
            </w:r>
          </w:p>
        </w:tc>
        <w:tc>
          <w:tcPr>
            <w:tcW w:type="dxa" w:w="1542"/>
          </w:tcPr>
          <w:p>
            <w:pPr>
              <w:spacing w:before="0" w:after="0"/>
              <w:ind w:firstLine="0"/>
              <w:jc w:val="left"/>
            </w:pPr>
            <w:r>
              <w:rPr>
                <w:rFonts w:ascii="Times New Roman" w:hAnsi="Times New Roman"/>
                <w:sz w:val="22"/>
              </w:rPr>
              <w:t>≤12 ani (fără grant); ≤7 ani (cu grant 50%)</w:t>
            </w:r>
          </w:p>
        </w:tc>
        <w:tc>
          <w:tcPr>
            <w:tcW w:type="dxa" w:w="1542"/>
          </w:tcPr>
          <w:p>
            <w:pPr>
              <w:spacing w:before="0" w:after="0"/>
              <w:ind w:firstLine="0"/>
              <w:jc w:val="left"/>
            </w:pPr>
            <w:r>
              <w:rPr>
                <w:rFonts w:ascii="Times New Roman" w:hAnsi="Times New Roman"/>
                <w:sz w:val="22"/>
              </w:rPr>
              <w:t>ani</w:t>
            </w:r>
          </w:p>
        </w:tc>
        <w:tc>
          <w:tcPr>
            <w:tcW w:type="dxa" w:w="1542"/>
          </w:tcPr>
          <w:p>
            <w:pPr>
              <w:spacing w:before="0" w:after="0"/>
              <w:ind w:firstLine="0"/>
              <w:jc w:val="left"/>
            </w:pPr>
            <w:r>
              <w:rPr>
                <w:rFonts w:ascii="Times New Roman" w:hAnsi="Times New Roman"/>
                <w:sz w:val="22"/>
              </w:rPr>
              <w:t>NPV la rată actualizare 5%; incluzând toate fluxurile de venituri EHA; verificat contra proiecției ex-ante la semnarea EPC</w:t>
            </w:r>
          </w:p>
        </w:tc>
      </w:tr>
    </w:tbl>
    <w:p>
      <w:pPr>
        <w:ind w:firstLine="0"/>
      </w:pPr>
    </w:p>
    <w:p>
      <w:pPr>
        <w:pStyle w:val="TableCaption"/>
      </w:pPr>
      <w:r>
        <w:t>Tabel 23. Cadrul complet de 20 KPI pentru EHA pe 4 axe. Metodologiile de calcul sunt reproductibile și verificabile independent. Pragurile de performanță sunt calibrate pe datele din studiul de caz Secțiunea 5 și pe valorile KPI din Model Spec EHA V1, EnEx Institute 2025. Sursă: elaborare proprie.</w:t>
      </w:r>
    </w:p>
    <w:p>
      <w:pPr>
        <w:ind w:firstLine="0"/>
      </w:pPr>
    </w:p>
    <w:p>
      <w:pPr>
        <w:pStyle w:val="ChapterHeading"/>
        <w:keepNext/>
      </w:pPr>
      <w:r>
        <w:t>7. Implicații pentru Politica Energetică și Reglementare</w:t>
      </w:r>
    </w:p>
    <w:p>
      <w:pPr>
        <w:ind w:firstLine="0"/>
      </w:pPr>
    </w:p>
    <w:p>
      <w:pPr>
        <w:pStyle w:val="SubHeading"/>
        <w:keepNext/>
      </w:pPr>
      <w:r>
        <w:t>7.1 Deficiențe reglementare față de potențialul multi-vector</w:t>
      </w:r>
    </w:p>
    <w:p>
      <w:pPr>
        <w:ind w:firstLine="0"/>
      </w:pPr>
    </w:p>
    <w:p>
      <w:pPr/>
      <w:r>
        <w:t>Cadrul de reglementare european și național al comunităților energetice (Directiva (UE) 2019/944, Directiva (UE) 2023/1791, Legea nr. 259/2021 privind comunitățile energetice în România) a evoluat semnificativ în ultimii cinci ani, recunoscând dreptul cetățenilor de a produce, consuma, stoca și vinde energie. Cu toate acestea, reglementarea actuală prezintă trei lacune structurale față de potențialul EHA multi-vector: (1) definiția legală a „energiei" în comunitățile energetice se referă predominant la electricitate, ignorând vectorii termici; (2) mecanismele de finanțare publică (PNRR, AFM, CEF) cuantifică impactul exclusiv în kWh_el sau kWp, invisibilizând valoarea vectorilor termici și a serviciilor de sistem; (3) nu există un cadru de certificare/rating pentru nivelul de agregare holistică al comunităților energetice.</w:t>
      </w:r>
    </w:p>
    <w:p>
      <w:pPr>
        <w:ind w:firstLine="0"/>
      </w:pPr>
    </w:p>
    <w:p>
      <w:pPr>
        <w:pStyle w:val="SubHeading"/>
        <w:keepNext/>
      </w:pPr>
      <w:r>
        <w:t>7.2 Propuneri de politică</w:t>
      </w:r>
    </w:p>
    <w:p>
      <w:pPr>
        <w:ind w:firstLine="0"/>
      </w:pPr>
    </w:p>
    <w:p>
      <w:pPr>
        <w:pStyle w:val="ListParagraph"/>
        <w:ind w:left="1" w:hanging="1"/>
      </w:pPr>
      <w:r>
        <w:t>1. Extinderea definiției „comunității energetice emergente" (Art. 26 Directiva 2023/1791) pentru a include explicit vectorii termici, combustibilii regenerabili și serviciile de flexibilitate multi-vector — nu numai electricitatea.</w:t>
      </w:r>
    </w:p>
    <w:p>
      <w:pPr>
        <w:pStyle w:val="ListParagraph"/>
        <w:ind w:left="1" w:hanging="1"/>
      </w:pPr>
      <w:r>
        <w:t>2. Crearea unui sistem de certificare/rating al comunităților energetice pe baza cadrului KPI din Secțiunea 6, cu clase de performanță (E→A+) și bonusuri de finanțare pentru comunitățile care ating Clasa B sau A+.</w:t>
      </w:r>
    </w:p>
    <w:p>
      <w:pPr>
        <w:pStyle w:val="ListParagraph"/>
        <w:ind w:left="1" w:hanging="1"/>
      </w:pPr>
      <w:r>
        <w:t>3. Recunoașterea EHA multi-vector ca instrument eligibil pentru contractele de performanță energetică (EPC) și pentru finanțarea prin Fondul pentru Modernizare — incluzând vectorii termici și carbon în baseline-ul de referință al EPC.</w:t>
      </w:r>
    </w:p>
    <w:p>
      <w:pPr>
        <w:pStyle w:val="ListParagraph"/>
        <w:ind w:left="1" w:hanging="1"/>
      </w:pPr>
      <w:r>
        <w:t>4. Introducerea unui indicator obligatoriu de Autonomie Energetică Multi-Vector în raportările anuale ale comunităților energetice, calculat conform metodologiei EHA (nu numai electrică).</w:t>
      </w:r>
    </w:p>
    <w:p>
      <w:pPr/>
      <w:r>
        <w:t>Oportunitatea strategică de implementare a EHA în România este detaliată în Tabelul 24.</w:t>
      </w:r>
    </w:p>
    <w:p>
      <w:pPr>
        <w:ind w:firstLine="0"/>
      </w:pPr>
    </w:p>
    <w:p>
      <w:pPr>
        <w:pStyle w:val="TableCaption"/>
      </w:pPr>
      <w:r>
        <w:t>Tabel 24. Oportunitatea strategică de implementare a EHA în România</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OPORTUNITATE STRATEGICĂ PENTRU ROMÂNIA</w:t>
            </w:r>
          </w:p>
        </w:tc>
      </w:tr>
      <w:tr>
        <w:tc>
          <w:tcPr>
            <w:tcW w:type="dxa" w:w="7710"/>
          </w:tcPr>
          <w:p>
            <w:pPr>
              <w:spacing w:before="0" w:after="0"/>
              <w:ind w:firstLine="0"/>
              <w:jc w:val="left"/>
            </w:pPr>
            <w:r>
              <w:rPr>
                <w:rFonts w:ascii="Times New Roman" w:hAnsi="Times New Roman"/>
                <w:sz w:val="22"/>
              </w:rPr>
              <w:t>Oportunitate politică strategică: Directiva (UE) 2023/1791, Art. 26 al. 3 prevede că Statele Membre trebuie să creeze un cadru de sprijin pentru comunitățile energetice. România are oportunitatea de a poziționa standardul EHA multi-vector ca referință națională și europeană pentru evaluarea comunităților energetice emergente — cu beneficii de imagine, competitivitate și atracție de investiții pentru sectorul energetic comunitar românesc.</w:t>
            </w:r>
          </w:p>
        </w:tc>
      </w:tr>
    </w:tbl>
    <w:p>
      <w:pPr>
        <w:ind w:firstLine="0"/>
      </w:pPr>
    </w:p>
    <w:p>
      <w:pPr>
        <w:ind w:firstLine="0"/>
      </w:pPr>
    </w:p>
    <w:p>
      <w:pPr>
        <w:pStyle w:val="ChapterHeading"/>
        <w:keepNext/>
      </w:pPr>
      <w:r>
        <w:t>8. Concluzii</w:t>
      </w:r>
    </w:p>
    <w:p>
      <w:pPr>
        <w:ind w:firstLine="0"/>
      </w:pPr>
    </w:p>
    <w:p>
      <w:pPr>
        <w:pStyle w:val="SubHeading"/>
        <w:keepNext/>
      </w:pPr>
      <w:r>
        <w:t>8.1 Concluzii principale</w:t>
      </w:r>
    </w:p>
    <w:p>
      <w:pPr>
        <w:ind w:firstLine="0"/>
      </w:pPr>
    </w:p>
    <w:p>
      <w:pPr/>
      <w:r>
        <w:t>Prezenta lucrare a documentat arhitectura și performanța Exergy Holistic Aggregator (EHA) ca răspuns sistematic la limitele structurale ale agregatoarelor energetice convenționale mono-vector. Principalele concluzii sunt:</w:t>
      </w:r>
    </w:p>
    <w:p>
      <w:pPr/>
      <w:r>
        <w:rPr>
          <w:b/>
        </w:rPr>
        <w:t>1. Fundamentul termodinamic al agregării multi-vector: optimizarea exclusiv electrică ignoră al doilea principiu al termodinamicii — pierderile exergetice prin mismatch între nivelul calitativ al sursei și al cererii. EHA impune QMF ≥ 0.75 ca constrângere hard, eliminând vandalismul termodinamic și recuperând 60–74% din exergia distrusă în sistemele convenționale.</w:t>
      </w:r>
    </w:p>
    <w:p>
      <w:pPr/>
      <w:r>
        <w:rPr>
          <w:b/>
        </w:rPr>
        <w:t>2. Cei 13 vectori comunitari: de la electric și termic N1/N2/N3, la frigorific, SRF, biomasă, H₂, stocare ×2, flexibilitate, carbon, financiar și tokenizare — formează un spațiu de optimizare de 13 ori mai larg decât abordarea mono-vector. Cele 7 simbioze exergetice inter-vectoriale identificate (SY-01 până la SY-07) creează valoare exclusiv la intersecția vectorilor, invizibilă în orice model izolat.</w:t>
      </w:r>
    </w:p>
    <w:p>
      <w:pPr/>
      <w:r>
        <w:rPr>
          <w:b/>
        </w:rPr>
        <w:t>3. Funcția obiectiv pentadimensională: F_EHA = w₁·max(η_ex) + w₂·min(Cost) + w₃·max(Autonomie) + w₄·min(Carbon) + w₅·max(Social) — optimizată prin MILP cu rolling horizon de 4h și fallback determinist &lt;30s — captează dimensiuni de valoare (exergetică, ecologică, socială) complet absente din funcțiile obiectiv ale agregatoarelor clasice.</w:t>
      </w:r>
    </w:p>
    <w:p>
      <w:pPr/>
      <w:r>
        <w:rPr>
          <w:b/>
        </w:rPr>
        <w:t>4. Valoarea adăugată cuantificată: studiul de caz pe comunitate de 500 gospodării demonstrează Financial Holistic Delta de +86–105% față de electric-only, Cross-Vector Synergy Gain de +18–25%, și tranziția de la carbon pozitiv (+120 tCO₂e/an) la carbon negativ (–50 tCO₂e/an) — o diferență de 170 tCO₂e/an generată exclusiv de optimizarea holistică.</w:t>
      </w:r>
    </w:p>
    <w:p>
      <w:pPr/>
      <w:r>
        <w:rPr>
          <w:b/>
        </w:rPr>
        <w:t>5. Cadrul de 20 KPI: structurați pe 4 axe (performanță holistică, exergetici/termodinamici, operaționali, financiari/piață) oferă instrumentul complet de monitorizare, certificare și benchmarking al nivelului de agregare holistică — propus ca standard de referință pentru evaluarea comunităților energetice emergente în contextul Directivei (UE) 2023/1791.</w:t>
      </w:r>
    </w:p>
    <w:p>
      <w:pPr>
        <w:ind w:firstLine="0"/>
      </w:pPr>
    </w:p>
    <w:p>
      <w:pPr>
        <w:pStyle w:val="SubHeading"/>
        <w:keepNext/>
      </w:pPr>
      <w:r>
        <w:t>8.2 Contribuții originale</w:t>
      </w:r>
    </w:p>
    <w:p>
      <w:pPr>
        <w:ind w:firstLine="0"/>
      </w:pPr>
    </w:p>
    <w:p>
      <w:pPr>
        <w:pStyle w:val="ListParagraph"/>
        <w:ind w:left="1" w:hanging="1"/>
      </w:pPr>
      <w:r>
        <w:t>5. Prima formalizare completă a arhitecturii EHA cu 13 vectori, 5 dimensiuni de agregare, funcție obiectiv pentadimensională și stivă algoritmică pe 4 niveluri, documentată ca standard tehnic replicabil.</w:t>
      </w:r>
    </w:p>
    <w:p>
      <w:pPr>
        <w:pStyle w:val="ListParagraph"/>
        <w:ind w:left="1" w:hanging="1"/>
      </w:pPr>
      <w:r>
        <w:t>6. Identificarea și formalizarea a 7 simbioze exergetice inter-vectoriale (SY-01 până la SY-07) cu calculul valorii create — contribuție originală la literatura de optimizare a sistemelor energetice integrate.</w:t>
      </w:r>
    </w:p>
    <w:p>
      <w:pPr>
        <w:pStyle w:val="ListParagraph"/>
        <w:ind w:left="1" w:hanging="1"/>
      </w:pPr>
      <w:r>
        <w:t>7. Cadrul de 20 KPI pentru certificarea agregării holistice — propus ca referință pentru politica energetică națională și europeană în contextul implementării Directivei (UE) 2023/1791.</w:t>
      </w:r>
    </w:p>
    <w:p>
      <w:pPr>
        <w:pStyle w:val="ListParagraph"/>
        <w:ind w:left="1" w:hanging="1"/>
      </w:pPr>
      <w:r>
        <w:t>8. Demonstrarea prin studiu de caz numeric că payback-ul investiției software EHA (25.000–45.000 EUR) față de delta de venituri generate (33.000–64.000 EUR/an) produce un ROI de &gt;100%/an — cea mai rapidă recuperare din întreaga arhitectură Exergy Metasystem.</w:t>
      </w:r>
    </w:p>
    <w:p>
      <w:pPr>
        <w:ind w:firstLine="0"/>
      </w:pPr>
    </w:p>
    <w:p>
      <w:pPr>
        <w:ind w:firstLine="0"/>
      </w:pPr>
    </w:p>
    <w:p>
      <w:pPr>
        <w:pStyle w:val="Title"/>
      </w:pPr>
      <w:r>
        <w:rPr>
          <w:b w:val="0"/>
        </w:rPr>
        <w:t>THE HOLISTIC MULTI-VECTOR AGGREGATOR: SIMULTANEOUS OPTIMIZATION OF 13+ COMMUNITY VECTORS VERSUS CONVENTIONAL MONO-VECTOR AGGREGATORS ARCHITECTURE, DIFFERENTIATORS AND ADDED VALUE</w:t>
      </w:r>
    </w:p>
    <w:p>
      <w:pPr>
        <w:ind w:firstLine="0"/>
      </w:pPr>
    </w:p>
    <w:p>
      <w:pPr>
        <w:ind w:firstLine="0"/>
      </w:pPr>
    </w:p>
    <w:p>
      <w:pPr>
        <w:pStyle w:val="ChapterHeading"/>
      </w:pPr>
      <w:r>
        <w:t>Abstract</w:t>
      </w:r>
    </w:p>
    <w:p>
      <w:pPr>
        <w:ind w:firstLine="0"/>
      </w:pPr>
    </w:p>
    <w:p>
      <w:pPr/>
      <w:r>
        <w:rPr>
          <w:i/>
        </w:rPr>
        <w:t>Conventional energy aggregators operate on a single vector — typically electricity — and optimize a single economic criterion: profit maximization on the spot market. This one-dimensional approach systematically ignores 60–70% of a community's actual energy consumption (which is thermal), sacrifices high-value inter-vectorial synergies and maintains citizens in the position of passive consumers towards energy infrastructure. This paper documents the architecture and performance of the Exergy Holistic Aggregator (EHA) — the multi-vector meta-aggregator of the Exergy Metasystem (EnEx Institute, 2025–2026) — which simultaneously optimizes 13 community vectors: electricity, thermal N1/N2/N3 (80–90°C, 50–65°C, 30–45°C), refrigeration, SRF fuel, biomass, green hydrogen, electrical storage, stratified thermal storage, aggregated flexibility, carbon (CO₂e), financial and tokenization.</w:t>
      </w:r>
    </w:p>
    <w:p>
      <w:pPr/>
      <w:r>
        <w:rPr>
          <w:i/>
        </w:rPr>
        <w:t>The EHA architecture is organized across five simultaneous aggregation dimensions: Multi-Vector (13 vectors), Multi-Scale (7 hierarchical levels N0–N6, recursive), Multi-Dimension (5 criteria: η_ex + cost + autonomy + carbon + social), Multi-Temporal (5 horizons: &lt;1s PID → 15 min MILP → 24h LSTM → weekly RL → strategic Monte Carlo) and Multi-Actor (8 categories with polycentric governance). The five-dimensional objective function F_EHA = w₁·max(η_ex) + w₂·min(Cost_total) + w₃·max(Autonomy) + w₄·min(Carbon) + w₅·max(Social_Impact) is optimized through MILP algorithms with 4h rolling horizon, with deterministic fallback at &lt;30s.</w:t>
      </w:r>
    </w:p>
    <w:p>
      <w:pPr/>
      <w:r>
        <w:rPr>
          <w:i/>
        </w:rPr>
        <w:t>The comparative analysis demonstrates three systemic pathologies of mono-vector aggregators — thermodynamic vandalism (electricity for heating at low temperatures destroys 75–96% of exergy), economic fragmentation (separate valorization of vectors leaves 20–30% of potential revenues unrecovered) and social opacity (citizens do not understand, participate or benefit equitably) — and documents how EHA structurally resolves them. The numerical case study on a 500-household community with HUB 150 kWe + 250 kWth demonstrates Financial Holistic Delta of +86–105% compared to electric-only approach, Cross-Vector Synergy Gain of +18–25% and transition from carbon positive (+120 tCO₂e/year) to carbon negative (–50 tCO₂e/year).</w:t>
      </w:r>
    </w:p>
    <w:p>
      <w:pPr/>
      <w:r>
        <w:rPr>
          <w:i/>
        </w:rPr>
        <w:t>The framework of 20 KPIs structured across 4 axes (holistic performance, exergetic, operational, financial) provides the complete tool for monitoring and certifying the level of holistic aggregation, proposed as a reference for evaluating emerging energy communities in the context of Directive (EU) 2023/1791.</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[0] [1] Pudjianto, D., Ramsay, C., Strbac, G. (2007).</w:t>
      </w:r>
      <w:r>
        <w:rPr>
          <w:rFonts w:ascii="Times New Roman" w:hAnsi="Times New Roman"/>
          <w:i/>
          <w:sz w:val="22"/>
        </w:rPr>
        <w:t xml:space="preserve"> Virtual power plant and system integration of distributed energy resources.</w:t>
      </w:r>
      <w:r>
        <w:rPr>
          <w:rFonts w:ascii="Times New Roman" w:hAnsi="Times New Roman"/>
          <w:sz w:val="22"/>
        </w:rPr>
        <w:t xml:space="preserve"> IET Renewable Power Generation, 1(1), 10–16.</w:t>
      </w:r>
    </w:p>
    <w:p>
      <w:pPr>
        <w:pStyle w:val="BibliographyEntry"/>
      </w:pPr>
      <w:r>
        <w:rPr>
          <w:rFonts w:ascii="Times New Roman" w:hAnsi="Times New Roman"/>
          <w:b/>
          <w:sz w:val="22"/>
        </w:rPr>
        <w:t>[1] [2] Morales, J.M., Conejo, A.J., Madsen, H., Pinson, P., Zugno, M. (2013).</w:t>
      </w:r>
      <w:r>
        <w:rPr>
          <w:rFonts w:ascii="Times New Roman" w:hAnsi="Times New Roman"/>
          <w:i/>
          <w:sz w:val="22"/>
        </w:rPr>
        <w:t xml:space="preserve"> Integrating Renewables in Electricity Markets: Operational Problems.</w:t>
      </w:r>
      <w:r>
        <w:rPr>
          <w:rFonts w:ascii="Times New Roman" w:hAnsi="Times New Roman"/>
          <w:sz w:val="22"/>
        </w:rPr>
        <w:t xml:space="preserve"> Springer, New York.</w:t>
      </w:r>
    </w:p>
    <w:p>
      <w:pPr>
        <w:pStyle w:val="BibliographyEntry"/>
      </w:pPr>
      <w:r>
        <w:rPr>
          <w:rFonts w:ascii="Times New Roman" w:hAnsi="Times New Roman"/>
          <w:b/>
          <w:sz w:val="22"/>
        </w:rPr>
        <w:t>[2] [3] Vasilj, J., Gros, S., Jakus, D., Zanon, M. (2021).</w:t>
      </w:r>
      <w:r>
        <w:rPr>
          <w:rFonts w:ascii="Times New Roman" w:hAnsi="Times New Roman"/>
          <w:i/>
          <w:sz w:val="22"/>
        </w:rPr>
        <w:t xml:space="preserve"> Day-ahead scheduling and real-time economic MPC of CHP unit in microgrid with smart buildings.</w:t>
      </w:r>
      <w:r>
        <w:rPr>
          <w:rFonts w:ascii="Times New Roman" w:hAnsi="Times New Roman"/>
          <w:sz w:val="22"/>
        </w:rPr>
        <w:t xml:space="preserve"> IEEE Transactions on Smart Grid, 10(2), 1–12.</w:t>
      </w:r>
    </w:p>
    <w:p>
      <w:pPr>
        <w:pStyle w:val="BibliographyEntry"/>
      </w:pPr>
      <w:r>
        <w:rPr>
          <w:rFonts w:ascii="Times New Roman" w:hAnsi="Times New Roman"/>
          <w:b/>
          <w:sz w:val="22"/>
        </w:rPr>
        <w:t>[3] [4] Bejan, A., Tsatsaronis, G., Moran, M.J. (1996).</w:t>
      </w:r>
      <w:r>
        <w:rPr>
          <w:rFonts w:ascii="Times New Roman" w:hAnsi="Times New Roman"/>
          <w:i/>
          <w:sz w:val="22"/>
        </w:rPr>
        <w:t xml:space="preserve"> Thermal Design and Optimization.</w:t>
      </w:r>
      <w:r>
        <w:rPr>
          <w:rFonts w:ascii="Times New Roman" w:hAnsi="Times New Roman"/>
          <w:sz w:val="22"/>
        </w:rPr>
        <w:t xml:space="preserve"> Wiley, New York. ISBN 978-0471584650.</w:t>
      </w:r>
    </w:p>
    <w:p>
      <w:pPr>
        <w:pStyle w:val="BibliographyEntry"/>
      </w:pPr>
      <w:r>
        <w:rPr>
          <w:rFonts w:ascii="Times New Roman" w:hAnsi="Times New Roman"/>
          <w:b/>
          <w:sz w:val="22"/>
        </w:rPr>
        <w:t>[4] [5] Dincer, I., Rosen, M.A. (2013).</w:t>
      </w:r>
      <w:r>
        <w:rPr>
          <w:rFonts w:ascii="Times New Roman" w:hAnsi="Times New Roman"/>
          <w:i/>
          <w:sz w:val="22"/>
        </w:rPr>
        <w:t xml:space="preserve"> Exergy: Energy, Environment and Sustainable Development.</w:t>
      </w:r>
      <w:r>
        <w:rPr>
          <w:rFonts w:ascii="Times New Roman" w:hAnsi="Times New Roman"/>
          <w:sz w:val="22"/>
        </w:rPr>
        <w:t xml:space="preserve"> 2nd ed. Elsevier, Oxford. ISBN 978-0080970905.</w:t>
      </w:r>
    </w:p>
    <w:p>
      <w:pPr>
        <w:pStyle w:val="BibliographyEntry"/>
      </w:pPr>
      <w:r>
        <w:rPr>
          <w:rFonts w:ascii="Times New Roman" w:hAnsi="Times New Roman"/>
          <w:b/>
          <w:sz w:val="22"/>
        </w:rPr>
        <w:t>[5] [6] Lund, H., Möller, B., Mathiesen, B.V., Dyrelund, A. (2010).</w:t>
      </w:r>
      <w:r>
        <w:rPr>
          <w:rFonts w:ascii="Times New Roman" w:hAnsi="Times New Roman"/>
          <w:i/>
          <w:sz w:val="22"/>
        </w:rPr>
        <w:t xml:space="preserve"> The role of district heating in future renewable energy systems.</w:t>
      </w:r>
      <w:r>
        <w:rPr>
          <w:rFonts w:ascii="Times New Roman" w:hAnsi="Times New Roman"/>
          <w:sz w:val="22"/>
        </w:rPr>
        <w:t xml:space="preserve"> Energy, 35(3), 1381–1390.</w:t>
      </w:r>
    </w:p>
    <w:p>
      <w:pPr>
        <w:pStyle w:val="BibliographyEntry"/>
      </w:pPr>
      <w:r>
        <w:rPr>
          <w:rFonts w:ascii="Times New Roman" w:hAnsi="Times New Roman"/>
          <w:b/>
          <w:sz w:val="22"/>
        </w:rPr>
        <w:t>[6] [7] Werner, S. (2017).</w:t>
      </w:r>
      <w:r>
        <w:rPr>
          <w:rFonts w:ascii="Times New Roman" w:hAnsi="Times New Roman"/>
          <w:i/>
          <w:sz w:val="22"/>
        </w:rPr>
        <w:t xml:space="preserve"> International review of district heating and cooling.</w:t>
      </w:r>
      <w:r>
        <w:rPr>
          <w:rFonts w:ascii="Times New Roman" w:hAnsi="Times New Roman"/>
          <w:sz w:val="22"/>
        </w:rPr>
        <w:t xml:space="preserve"> Energy, 137, 617–631.</w:t>
      </w:r>
    </w:p>
    <w:p>
      <w:pPr>
        <w:pStyle w:val="BibliographyEntry"/>
      </w:pPr>
      <w:r>
        <w:rPr>
          <w:rFonts w:ascii="Times New Roman" w:hAnsi="Times New Roman"/>
          <w:b/>
          <w:sz w:val="22"/>
        </w:rPr>
        <w:t>[7] [8] Kilkis, S. (2015).</w:t>
      </w:r>
      <w:r>
        <w:rPr>
          <w:rFonts w:ascii="Times New Roman" w:hAnsi="Times New Roman"/>
          <w:i/>
          <w:sz w:val="22"/>
        </w:rPr>
        <w:t xml:space="preserve"> A nearly net-zero exergy district as a model for smarter and better buildings and grids.</w:t>
      </w:r>
      <w:r>
        <w:rPr>
          <w:rFonts w:ascii="Times New Roman" w:hAnsi="Times New Roman"/>
          <w:sz w:val="22"/>
        </w:rPr>
        <w:t xml:space="preserve"> Smart and Sustainable Built Environment, 4(1), 68–87.</w:t>
      </w:r>
    </w:p>
    <w:p>
      <w:pPr>
        <w:pStyle w:val="BibliographyEntry"/>
      </w:pPr>
      <w:r>
        <w:rPr>
          <w:rFonts w:ascii="Times New Roman" w:hAnsi="Times New Roman"/>
          <w:b/>
          <w:sz w:val="22"/>
        </w:rPr>
        <w:t>[8] [9] Sartor, K., Dewallef, P. (2017).</w:t>
      </w:r>
      <w:r>
        <w:rPr>
          <w:rFonts w:ascii="Times New Roman" w:hAnsi="Times New Roman"/>
          <w:i/>
          <w:sz w:val="22"/>
        </w:rPr>
        <w:t xml:space="preserve"> Exergy analysis applied to performance of buildings in Europe.</w:t>
      </w:r>
      <w:r>
        <w:rPr>
          <w:rFonts w:ascii="Times New Roman" w:hAnsi="Times New Roman"/>
          <w:sz w:val="22"/>
        </w:rPr>
        <w:t xml:space="preserve"> Energy and Buildings, 148, 348–354.</w:t>
      </w:r>
    </w:p>
    <w:p>
      <w:pPr>
        <w:pStyle w:val="BibliographyEntry"/>
      </w:pPr>
      <w:r>
        <w:rPr>
          <w:rFonts w:ascii="Times New Roman" w:hAnsi="Times New Roman"/>
          <w:b/>
          <w:sz w:val="22"/>
        </w:rPr>
        <w:t>[9] [10] Li, H., Svendsen, S. (2012).</w:t>
      </w:r>
      <w:r>
        <w:rPr>
          <w:rFonts w:ascii="Times New Roman" w:hAnsi="Times New Roman"/>
          <w:i/>
          <w:sz w:val="22"/>
        </w:rPr>
        <w:t xml:space="preserve"> Energy and exergy analysis of low temperature district heating network.</w:t>
      </w:r>
      <w:r>
        <w:rPr>
          <w:rFonts w:ascii="Times New Roman" w:hAnsi="Times New Roman"/>
          <w:sz w:val="22"/>
        </w:rPr>
        <w:t xml:space="preserve"> Energy, 45(1), 237–246.</w:t>
      </w:r>
    </w:p>
    <w:p>
      <w:pPr>
        <w:pStyle w:val="BibliographyEntry"/>
      </w:pPr>
      <w:r>
        <w:rPr>
          <w:rFonts w:ascii="Times New Roman" w:hAnsi="Times New Roman"/>
          <w:b/>
          <w:sz w:val="22"/>
        </w:rPr>
        <w:t>[10] [11] Vrettos, E., Katsanos, C., Andersson, G. (2013).</w:t>
      </w:r>
      <w:r>
        <w:rPr>
          <w:rFonts w:ascii="Times New Roman" w:hAnsi="Times New Roman"/>
          <w:i/>
          <w:sz w:val="22"/>
        </w:rPr>
        <w:t xml:space="preserve"> Provision of regulation power by a virtual power plant with battery energy storage.</w:t>
      </w:r>
      <w:r>
        <w:rPr>
          <w:rFonts w:ascii="Times New Roman" w:hAnsi="Times New Roman"/>
          <w:sz w:val="22"/>
        </w:rPr>
        <w:t xml:space="preserve"> IEEE PowerTech Grenoble, 1–6.</w:t>
      </w:r>
    </w:p>
    <w:p>
      <w:pPr>
        <w:pStyle w:val="BibliographyEntry"/>
      </w:pPr>
      <w:r>
        <w:rPr>
          <w:rFonts w:ascii="Times New Roman" w:hAnsi="Times New Roman"/>
          <w:b/>
          <w:sz w:val="22"/>
        </w:rPr>
        <w:t>[11] [12] Löber, J., Richter, A., Haas, R., Auer, H. (2021).</w:t>
      </w:r>
      <w:r>
        <w:rPr>
          <w:rFonts w:ascii="Times New Roman" w:hAnsi="Times New Roman"/>
          <w:i/>
          <w:sz w:val="22"/>
        </w:rPr>
        <w:t xml:space="preserve"> Optimal planning of multi-energy carrier systems for districts.</w:t>
      </w:r>
      <w:r>
        <w:rPr>
          <w:rFonts w:ascii="Times New Roman" w:hAnsi="Times New Roman"/>
          <w:sz w:val="22"/>
        </w:rPr>
        <w:t xml:space="preserve"> Applied Energy, 283, 116338.</w:t>
      </w:r>
    </w:p>
    <w:p>
      <w:pPr>
        <w:pStyle w:val="BibliographyEntry"/>
      </w:pPr>
      <w:r>
        <w:rPr>
          <w:rFonts w:ascii="Times New Roman" w:hAnsi="Times New Roman"/>
          <w:b/>
          <w:sz w:val="22"/>
        </w:rPr>
        <w:t>[12] [13] IRENA (2023).</w:t>
      </w:r>
      <w:r>
        <w:rPr>
          <w:rFonts w:ascii="Times New Roman" w:hAnsi="Times New Roman"/>
          <w:i/>
          <w:sz w:val="22"/>
        </w:rPr>
        <w:t xml:space="preserve"> Innovation Landscape for Smart Electrification: Decarbonising End-Uses with Renewable Power.</w:t>
      </w:r>
      <w:r>
        <w:rPr>
          <w:rFonts w:ascii="Times New Roman" w:hAnsi="Times New Roman"/>
          <w:sz w:val="22"/>
        </w:rPr>
        <w:t xml:space="preserve"> International Renewable Energy Agency, Abu Dhabi.</w:t>
      </w:r>
    </w:p>
    <w:p>
      <w:pPr>
        <w:pStyle w:val="BibliographyEntry"/>
      </w:pPr>
      <w:r>
        <w:rPr>
          <w:rFonts w:ascii="Times New Roman" w:hAnsi="Times New Roman"/>
          <w:b/>
          <w:sz w:val="22"/>
        </w:rPr>
        <w:t>[13] [14] Directiva (UE) 2023/1791 a Parlamentului European și a Consiliului privind eficiența energetică. Jurnalul Oficial al UE, L 231, 20.9.2023.</w:t>
      </w:r>
    </w:p>
    <w:p>
      <w:pPr>
        <w:pStyle w:val="BibliographyEntry"/>
      </w:pPr>
      <w:r>
        <w:rPr>
          <w:rFonts w:ascii="Times New Roman" w:hAnsi="Times New Roman"/>
          <w:b/>
          <w:sz w:val="22"/>
        </w:rPr>
        <w:t>[14] [15] EnEx Institute (2025).</w:t>
      </w:r>
      <w:r>
        <w:rPr>
          <w:rFonts w:ascii="Times New Roman" w:hAnsi="Times New Roman"/>
          <w:i/>
          <w:sz w:val="22"/>
        </w:rPr>
        <w:t xml:space="preserve"> Model Specification Exergy Holistic Aggregator V1.</w:t>
      </w:r>
      <w:r>
        <w:rPr>
          <w:rFonts w:ascii="Times New Roman" w:hAnsi="Times New Roman"/>
          <w:sz w:val="22"/>
        </w:rPr>
        <w:t xml:space="preserve"> EnEx Institute | Exergy Consortium, Bistrița-Năsăud.</w:t>
      </w:r>
    </w:p>
    <w:p>
      <w:pPr>
        <w:pStyle w:val="BibliographyEntry"/>
      </w:pPr>
      <w:r>
        <w:rPr>
          <w:rFonts w:ascii="Times New Roman" w:hAnsi="Times New Roman"/>
          <w:b/>
          <w:sz w:val="22"/>
        </w:rPr>
        <w:t>[15] [16] EnEx Institute (2025).</w:t>
      </w:r>
      <w:r>
        <w:rPr>
          <w:rFonts w:ascii="Times New Roman" w:hAnsi="Times New Roman"/>
          <w:i/>
          <w:sz w:val="22"/>
        </w:rPr>
        <w:t xml:space="preserve"> Model Specification Exergy DigitAll System V4.</w:t>
      </w:r>
      <w:r>
        <w:rPr>
          <w:rFonts w:ascii="Times New Roman" w:hAnsi="Times New Roman"/>
          <w:sz w:val="22"/>
        </w:rPr>
        <w:t xml:space="preserve"> EnEx Institute | Exergy Consortium, Timișoara.</w:t>
      </w:r>
    </w:p>
    <w:p>
      <w:pPr>
        <w:pStyle w:val="BibliographyEntry"/>
      </w:pPr>
      <w:r>
        <w:rPr>
          <w:rFonts w:ascii="Times New Roman" w:hAnsi="Times New Roman"/>
          <w:b/>
          <w:sz w:val="22"/>
        </w:rPr>
        <w:t>[16] [17] EnEx Institute (2025).</w:t>
      </w:r>
      <w:r>
        <w:rPr>
          <w:rFonts w:ascii="Times New Roman" w:hAnsi="Times New Roman"/>
          <w:i/>
          <w:sz w:val="22"/>
        </w:rPr>
        <w:t xml:space="preserve"> Exergy Community Doctrine and Principles V3.</w:t>
      </w:r>
      <w:r>
        <w:rPr>
          <w:rFonts w:ascii="Times New Roman" w:hAnsi="Times New Roman"/>
          <w:sz w:val="22"/>
        </w:rPr>
        <w:t xml:space="preserve"> EnEx Institute | Exergy Consortium.</w:t>
      </w:r>
    </w:p>
    <w:p>
      <w:pPr>
        <w:pStyle w:val="BibliographyEntry"/>
      </w:pPr>
      <w:r>
        <w:rPr>
          <w:rFonts w:ascii="Times New Roman" w:hAnsi="Times New Roman"/>
          <w:b/>
          <w:sz w:val="22"/>
        </w:rPr>
        <w:t>[17] [18] EnEx Institute (2026).</w:t>
      </w:r>
      <w:r>
        <w:rPr>
          <w:rFonts w:ascii="Times New Roman" w:hAnsi="Times New Roman"/>
          <w:i/>
          <w:sz w:val="22"/>
        </w:rPr>
        <w:t xml:space="preserve"> Lucrare Științifică: Quality Matching — Principiul de Aur al Energeticii Localităților V1.</w:t>
      </w:r>
      <w:r>
        <w:rPr>
          <w:rFonts w:ascii="Times New Roman" w:hAnsi="Times New Roman"/>
          <w:sz w:val="22"/>
        </w:rPr>
        <w:t xml:space="preserve"> EnEx Institute | Exergy Consortium.</w:t>
      </w:r>
    </w:p>
    <w:p>
      <w:pPr>
        <w:pStyle w:val="BibliographyEntry"/>
      </w:pPr>
      <w:r>
        <w:rPr>
          <w:rFonts w:ascii="Times New Roman" w:hAnsi="Times New Roman"/>
          <w:b/>
          <w:sz w:val="22"/>
        </w:rPr>
        <w:t>[18] [19] Gurobi Optimization LLC (2025).</w:t>
      </w:r>
      <w:r>
        <w:rPr>
          <w:rFonts w:ascii="Times New Roman" w:hAnsi="Times New Roman"/>
          <w:i/>
          <w:sz w:val="22"/>
        </w:rPr>
        <w:t xml:space="preserve"> Gurobi Optimizer Reference Manual.</w:t>
      </w:r>
      <w:r>
        <w:rPr>
          <w:rFonts w:ascii="Times New Roman" w:hAnsi="Times New Roman"/>
          <w:sz w:val="22"/>
        </w:rPr>
        <w:t xml:space="preserve"> www.gurobi.com.</w:t>
      </w:r>
    </w:p>
    <w:p>
      <w:pPr>
        <w:pStyle w:val="BibliographyEntry"/>
      </w:pPr>
      <w:r>
        <w:rPr>
          <w:rFonts w:ascii="Times New Roman" w:hAnsi="Times New Roman"/>
          <w:b/>
          <w:sz w:val="22"/>
        </w:rPr>
        <w:t>[19] [20] IEA (2024).</w:t>
      </w:r>
      <w:r>
        <w:rPr>
          <w:rFonts w:ascii="Times New Roman" w:hAnsi="Times New Roman"/>
          <w:i/>
          <w:sz w:val="22"/>
        </w:rPr>
        <w:t xml:space="preserve"> District Heating and Cooling: Technology Report 2024.</w:t>
      </w:r>
      <w:r>
        <w:rPr>
          <w:rFonts w:ascii="Times New Roman" w:hAnsi="Times New Roman"/>
          <w:sz w:val="22"/>
        </w:rPr>
        <w:t xml:space="preserve"> International Energy Agency, Paris.</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