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QUALITY MATCHING —</w:t>
      </w:r>
    </w:p>
    <w:p>
      <w:pPr>
        <w:pStyle w:val="Title"/>
      </w:pPr>
      <w:r>
        <w:t>PRINCIPIUL DE AUR AL ENERGETICII LOCALITĂȚILOR</w:t>
      </w:r>
    </w:p>
    <w:p>
      <w:pPr>
        <w:pStyle w:val="Title"/>
      </w:pPr>
      <w:r>
        <w:t>FORMALIZAREA FACTORULUI QM ȘI CUANTIFICAREA PIERDERILOR EXERGETICE</w:t>
      </w:r>
    </w:p>
    <w:p>
      <w:pPr>
        <w:pStyle w:val="Title"/>
      </w:pPr>
      <w:r>
        <w:t>ÎN SISTEMELE CONVENȚIONALE DE TERMOFICARE</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Principiul Quality Matching (QM) — potrivirea calității energetice a sursei cu cerința minimă necesară a aplicației — constituie Regula de Aur a proiectării raționale a sistemelor energetice ale localităților. Deși intuitiv acceptat în cercurile academice, principiul a rămas până în prezent fără o formalizare matematică riguroasă, aplicabilă ca instrument de diagnostic și optimizare în practica ingineriei energetice a teritoriului.</w:t>
      </w:r>
    </w:p>
    <w:p>
      <w:pPr/>
      <w:r>
        <w:rPr>
          <w:i/>
        </w:rPr>
        <w:t>Prezenta lucrare propune formalizarea completă a Factorului QM (QMF) ca metrică adimensională derivată din analiza exergetică de ordinul al doilea al termodinamicii, definit ca raportul între exergia minimum necesară aplicației (Ex_cerere) și exergia efectiv furnizată de sursă (Ex_furnizat). Valoarea QMF ∈ (0,1] caracterizează gradul de potrivire calitativă: QMF = 1 corespunde matching-ului perfect, fără distrugere inutilă de exergie; QMF → 0 caracterizează sistemele cu mismatch calitativ sever — vandalism termodinamic.</w:t>
      </w:r>
    </w:p>
    <w:p>
      <w:pPr/>
      <w:r>
        <w:rPr>
          <w:i/>
        </w:rPr>
        <w:t>Lucrarea demonstrează, prin analiză numerică detaliată, că sistemele de termoficare centralizată de generația 3G (temperatura de furnizare 80–100°C) prezintă valori QMF de 0.10–0.27 pentru aplicații tipice de încălzire (planșeu radiant, 35°C), ceea ce implică o distrugere inutilă de exergie de 73–90% din fluxul exergetic furnizat — o ineficiență sistematică de ordinul miliardelor de euro la scară europeană. Sistemele de generație 6G (District Exergy Systems), prin implementarea cascadei termodinamice complete N1→N4 și Quality Matching comunitar, ating valori QMF de 0.85–1.00, cu reduceri ale distrugerii de exergie de peste 70 puncte procentuale.</w:t>
      </w:r>
    </w:p>
    <w:p>
      <w:pPr/>
      <w:r>
        <w:rPr>
          <w:i/>
        </w:rPr>
        <w:t>Contribuțiile originale includ: (1) definirea formală și derivarea matematică a Factorului QMF; (2) clasificarea în 5 clase de performanță QMF cu praguri de acțiune inginerească; (3) matricea pierderilor exergetice pe subsisteme în sistemele 3G convenționale; (4) demonstrarea cuantificată a beneficiilor Quality Matching pe studiu de caz comparat 3G vs. 6G; (5) propunerea QMF ca indicator obligatoriu de certificare energetică a sistemelor DH în cadrul legislativ european.</w:t>
      </w:r>
    </w:p>
    <w:p>
      <w:pPr>
        <w:ind w:firstLine="0"/>
      </w:pPr>
    </w:p>
    <w:p>
      <w:pPr>
        <w:pStyle w:val="ChapterHeading"/>
        <w:keepNext/>
      </w:pPr>
      <w:r>
        <w:t>1. Introducere — De ce Eficiența Energetică este Insuficientă</w:t>
      </w:r>
    </w:p>
    <w:p>
      <w:pPr>
        <w:ind w:firstLine="0"/>
      </w:pPr>
    </w:p>
    <w:p>
      <w:pPr>
        <w:pStyle w:val="SubHeading"/>
        <w:keepNext/>
      </w:pPr>
      <w:r>
        <w:t>1.1 Paradoxul eficienței energetice ridicate cu performanță exergetică scăzută</w:t>
      </w:r>
    </w:p>
    <w:p>
      <w:pPr>
        <w:ind w:firstLine="0"/>
      </w:pPr>
    </w:p>
    <w:p>
      <w:pPr/>
      <w:r>
        <w:t>Una dintre cele mai persistente iluzii în evaluarea performanței sistemelor energetice ale localităților este echivalarea eficienței energetice (η_I — conform Primului Principiu al Termodinamicii) cu performanța reală a sistemului. Un cazan cu eficiență energetică de 95%, care arde gaz natural pentru a produce apă caldă la 80°C distribuită la consumatori cu nevoi termice la 35°C, este considerat „performant" în metrologia energetică curentă. Totuși, același sistem are o eficiență exergetică (η_ex — conform celui de-al Doilea Principiu) de doar 8–15%, implicând că 85–92% din exergia primară a combustibilului este distrusă ireversibil.</w:t>
      </w:r>
    </w:p>
    <w:p>
      <w:pPr/>
      <w:r>
        <w:t>Paradoxul devine și mai accentuat când se realizează că distrugerea de exergie nu este o pierdere „cantitativă" — energia se conservă conform Legii I. Este o degradare calitativă permanentă și ireversibilă: energia chimică de înaltă calitate a gazului natural (exergie ~93% din PCI) este transformată în căldură de joasă calitate la 35°C (exergie ~4% din aceeași cantitate de energie). Diferența — 89% din exergia inițială — nu „dispare" energetic, ci devine inutilizabilă termodinamic. Aceasta este, în terminologia Exergy Metasystem, distrugere ireversibilă a patrimoniului termodinamic al comunității.</w:t>
      </w:r>
    </w:p>
    <w:p>
      <w:pPr/>
      <w:r>
        <w:t>Definitie (Exergie): Exergia unui flux energetic reprezintă lucrul mecanic maxim care poate fi extras dintr-un sistem atunci când acesta ajunge la echilibru termodinamic cu mediul de referință (starea moartă), printr-un proces reversibil ideal. Matematica: Ex = (E – E₀) – T₀(S – S₀) + Σ(μ₀,k)(N_k – N₀,k). Exergia se distruge ireversibil în orice proces real: Ex_destroyed = T₀ · S_gen ≥ 0, cu egalitate numai în procese reversibile ideale.</w:t>
      </w:r>
    </w:p>
    <w:p>
      <w:pPr>
        <w:ind w:firstLine="0"/>
      </w:pPr>
    </w:p>
    <w:p>
      <w:pPr>
        <w:pStyle w:val="SubHeading"/>
        <w:keepNext/>
      </w:pPr>
      <w:r>
        <w:t>1.2 Originile conceptuale ale quality matching</w:t>
      </w:r>
    </w:p>
    <w:p>
      <w:pPr>
        <w:ind w:firstLine="0"/>
      </w:pPr>
    </w:p>
    <w:p>
      <w:pPr/>
      <w:r>
        <w:t>Ideea potrivirii calității energetice cu cerința aplicației nu este nouă. Reistad (1975) a introdus conceptul de „energy quality matching" în analiza sistemelor de încălzire; Bejan (1988) l-a formalizat parțial în cadrul „thermodynamic optimization"; Kilkis (2015) a propus indicatorul SPECO (Specific Exergy Cost) ca instrument de evaluare. Cu toate acestea, nici una dintre aceste abordări nu a produs o metrică simplă, direct calculabilă și aplicabilă ca instrument de certificare și reglementare a sistemelor DH.</w:t>
      </w:r>
    </w:p>
    <w:p>
      <w:pPr/>
      <w:r>
        <w:t>Cadrul conceptual Exergy Metasystem (EnEx Institute, 2024–2026) a identificat Quality Matching drept Principiul de Aur al Energeticii Localităților — P-OPT-1 în arhitectura sistemului DigitAll — și a introdus informal Factorul QM (QMF) ca raport al exergiilor. Prezenta lucrare realizează formalizarea matematică completă, derivarea riguroasă și demonstrarea numerică a QMF ca instrument de diagnostic și optimizare.</w:t>
      </w:r>
    </w:p>
    <w:p>
      <w:pPr>
        <w:ind w:firstLine="0"/>
      </w:pPr>
    </w:p>
    <w:p>
      <w:pPr>
        <w:pStyle w:val="SubHeading"/>
        <w:keepNext/>
      </w:pPr>
      <w:r>
        <w:t>1.3 Obiectivele lucrării</w:t>
      </w:r>
    </w:p>
    <w:p>
      <w:pPr>
        <w:ind w:firstLine="0"/>
      </w:pPr>
    </w:p>
    <w:p>
      <w:pPr>
        <w:pStyle w:val="ListParagraph"/>
        <w:ind w:left="1" w:hanging="1"/>
      </w:pPr>
      <w:r>
        <w:t>• Derivarea matematică riguroasă a Factorului QM (QMF) din axiomele termodinamicii de ordinul al doilea.</w:t>
      </w:r>
    </w:p>
    <w:p>
      <w:pPr>
        <w:pStyle w:val="ListParagraph"/>
        <w:ind w:left="1" w:hanging="1"/>
      </w:pPr>
      <w:r>
        <w:t>• Calculul și analiza QMF pentru principalele aplicații termice și electrice din sistemele energetice ale localităților.</w:t>
      </w:r>
    </w:p>
    <w:p>
      <w:pPr>
        <w:pStyle w:val="ListParagraph"/>
        <w:ind w:left="1" w:hanging="1"/>
      </w:pPr>
      <w:r>
        <w:t>• Cuantificarea detaliată a pierderilor exergetice pe subsisteme în sistemele de termoficare convenționale 3G.</w:t>
      </w:r>
    </w:p>
    <w:p>
      <w:pPr>
        <w:pStyle w:val="ListParagraph"/>
        <w:ind w:left="1" w:hanging="1"/>
      </w:pPr>
      <w:r>
        <w:t>• Propunerea unui sistem de clasificare QMF în 5 clase, cu praguri de intervenție inginerească.</w:t>
      </w:r>
    </w:p>
    <w:p>
      <w:pPr>
        <w:pStyle w:val="ListParagraph"/>
        <w:ind w:left="1" w:hanging="1"/>
      </w:pPr>
      <w:r>
        <w:t>• Demonstrarea beneficiilor Quality Matching prin studiu de caz comparat: sistem 3G convențional vs. sistem 6G DES (District Exergy Systems).</w:t>
      </w:r>
    </w:p>
    <w:p>
      <w:pPr>
        <w:pStyle w:val="ListParagraph"/>
        <w:ind w:left="1" w:hanging="1"/>
      </w:pPr>
      <w:r>
        <w:t>• Argumentarea integrării QMF ca indicator obligatoriu în certificarea energetică a sistemelor DH la nivel European.</w:t>
      </w:r>
    </w:p>
    <w:p>
      <w:pPr>
        <w:ind w:firstLine="0"/>
      </w:pPr>
    </w:p>
    <w:p>
      <w:pPr>
        <w:pStyle w:val="ChapterHeading"/>
        <w:keepNext/>
      </w:pPr>
      <w:r>
        <w:t>2. Cadrul Termodinamic — Baza Matematică a Exergiei</w:t>
      </w:r>
    </w:p>
    <w:p>
      <w:pPr>
        <w:ind w:firstLine="0"/>
      </w:pPr>
    </w:p>
    <w:p>
      <w:pPr>
        <w:pStyle w:val="SubHeading"/>
        <w:keepNext/>
      </w:pPr>
      <w:r>
        <w:t>2.1 Definițiile formale — primul și al doilea principiu</w:t>
      </w:r>
    </w:p>
    <w:p>
      <w:pPr>
        <w:ind w:firstLine="0"/>
      </w:pPr>
    </w:p>
    <w:p>
      <w:pPr/>
      <w:r>
        <w:t>Sistemul teoretic de referință este un sistem deschis aflat în interacțiune termodinamică cu un mediu de referință caracterizat prin temperatura T₀ [K], presiunea P₀ [Pa] și potențialele chimice μ₀,k ale componentelor. Starea mediului de referință (starea moartă) este, prin convenție: T₀ = 283 K (10°C), P₀ = 101,325 Pa (1 atm), pentru analiza sistemelor DH din clima temperată continentală (România).</w:t>
      </w:r>
    </w:p>
    <w:p>
      <w:pPr>
        <w:ind w:firstLine="0"/>
      </w:pPr>
    </w:p>
    <w:p>
      <w:pPr>
        <w:pStyle w:val="SubHeading"/>
        <w:keepNext/>
      </w:pPr>
      <w:r>
        <w:t>2.1.1 Bilanțul energetic (legea i)</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dE</w:t>
      </w:r>
      <w:r>
        <w:rPr>
          <w:rFonts w:ascii="Times New Roman" w:hAnsi="Times New Roman"/>
          <w:sz w:val="22"/>
          <w:vertAlign w:val="subscript"/>
        </w:rPr>
        <w:t>sistem</w:t>
      </w:r>
      <w:r>
        <w:rPr>
          <w:rFonts w:ascii="Times New Roman" w:hAnsi="Times New Roman"/>
          <w:sz w:val="22"/>
        </w:rPr>
        <w:t xml:space="preserve">/dt = Q̇ – Ẇ + </w:t>
      </w:r>
      <w:r>
        <w:rPr>
          <w:rFonts w:ascii="Times New Roman" w:hAnsi="Times New Roman"/>
          <w:sz w:val="22"/>
        </w:rPr>
        <w:t>ṁ</w:t>
      </w:r>
      <w:r>
        <w:rPr>
          <w:rFonts w:ascii="Times New Roman" w:hAnsi="Times New Roman"/>
          <w:sz w:val="22"/>
          <w:vertAlign w:val="subscript"/>
        </w:rPr>
        <w:t>in</w:t>
      </w:r>
      <w:r>
        <w:rPr>
          <w:rFonts w:ascii="Times New Roman" w:hAnsi="Times New Roman"/>
          <w:sz w:val="22"/>
        </w:rPr>
        <w:t>·h</w:t>
      </w:r>
      <w:r>
        <w:rPr>
          <w:rFonts w:ascii="Times New Roman" w:hAnsi="Times New Roman"/>
          <w:sz w:val="22"/>
          <w:vertAlign w:val="subscript"/>
        </w:rPr>
        <w:t>in</w:t>
      </w:r>
      <w:r>
        <w:rPr>
          <w:rFonts w:ascii="Times New Roman" w:hAnsi="Times New Roman"/>
          <w:sz w:val="22"/>
        </w:rPr>
        <w:t xml:space="preserve"> – </w:t>
      </w:r>
      <w:r>
        <w:rPr>
          <w:rFonts w:ascii="Times New Roman" w:hAnsi="Times New Roman"/>
          <w:sz w:val="22"/>
        </w:rPr>
        <w:t>ṁ</w:t>
      </w:r>
      <w:r>
        <w:rPr>
          <w:rFonts w:ascii="Times New Roman" w:hAnsi="Times New Roman"/>
          <w:sz w:val="22"/>
          <w:vertAlign w:val="subscript"/>
        </w:rPr>
        <w:t>out</w:t>
      </w:r>
      <w:r>
        <w:rPr>
          <w:rFonts w:ascii="Times New Roman" w:hAnsi="Times New Roman"/>
          <w:sz w:val="22"/>
        </w:rPr>
        <w:t>·h</w:t>
      </w:r>
      <w:r>
        <w:rPr>
          <w:rFonts w:ascii="Times New Roman" w:hAnsi="Times New Roman"/>
          <w:sz w:val="22"/>
          <w:vertAlign w:val="subscript"/>
        </w:rPr>
        <w:t>out</w:t>
      </w:r>
      <w:r>
        <w:rPr>
          <w:rFonts w:ascii="Times New Roman" w:hAnsi="Times New Roman"/>
          <w:sz w:val="22"/>
        </w:rPr>
        <w:tab/>
        <w:t>(1)</w:t>
      </w:r>
    </w:p>
    <w:p>
      <w:pPr>
        <w:ind w:firstLine="0"/>
      </w:pPr>
      <w:r>
        <w:rPr>
          <w:rFonts w:ascii="Times New Roman" w:hAnsi="Times New Roman"/>
          <w:sz w:val="22"/>
        </w:rPr>
        <w:t>unde: E = energie totală sistem [J]; Q̇ = flux caloric [W]; Ẇ = putere mecanică [W]; ṁ = debit masic [kg/s]; h = entalpie specifică [J/kg]</w:t>
      </w:r>
    </w:p>
    <w:p>
      <w:pPr>
        <w:ind w:firstLine="0"/>
      </w:pPr>
    </w:p>
    <w:p>
      <w:pPr>
        <w:pStyle w:val="SubHeading"/>
        <w:keepNext/>
      </w:pPr>
      <w:r>
        <w:t>2.1.2 Bilanțul exergetic (legea ii)</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dEx</w:t>
      </w:r>
      <w:r>
        <w:rPr>
          <w:rFonts w:ascii="Times New Roman" w:hAnsi="Times New Roman"/>
          <w:sz w:val="22"/>
          <w:vertAlign w:val="subscript"/>
        </w:rPr>
        <w:t>sistem</w:t>
      </w:r>
      <w:r>
        <w:rPr>
          <w:rFonts w:ascii="Times New Roman" w:hAnsi="Times New Roman"/>
          <w:sz w:val="22"/>
        </w:rPr>
        <w:t xml:space="preserve">/dt = </w:t>
      </w:r>
      <w:r>
        <w:rPr>
          <w:rFonts w:ascii="Times New Roman" w:hAnsi="Times New Roman"/>
          <w:sz w:val="22"/>
        </w:rPr>
        <w:t>Ėx</w:t>
      </w:r>
      <w:r>
        <w:rPr>
          <w:rFonts w:ascii="Times New Roman" w:hAnsi="Times New Roman"/>
          <w:sz w:val="22"/>
          <w:vertAlign w:val="subscript"/>
        </w:rPr>
        <w:t>Q</w:t>
      </w:r>
      <w:r>
        <w:rPr>
          <w:rFonts w:ascii="Times New Roman" w:hAnsi="Times New Roman"/>
          <w:sz w:val="22"/>
        </w:rPr>
        <w:t xml:space="preserve"> – </w:t>
      </w:r>
      <w:r>
        <w:rPr>
          <w:rFonts w:ascii="Times New Roman" w:hAnsi="Times New Roman"/>
          <w:sz w:val="22"/>
        </w:rPr>
        <w:t>Ẇ</w:t>
      </w:r>
      <w:r>
        <w:rPr>
          <w:rFonts w:ascii="Times New Roman" w:hAnsi="Times New Roman"/>
          <w:sz w:val="22"/>
          <w:vertAlign w:val="subscript"/>
        </w:rPr>
        <w:t>util</w:t>
      </w:r>
      <w:r>
        <w:rPr>
          <w:rFonts w:ascii="Times New Roman" w:hAnsi="Times New Roman"/>
          <w:sz w:val="22"/>
        </w:rPr>
        <w:t xml:space="preserve"> + </w:t>
      </w:r>
      <w:r>
        <w:rPr>
          <w:rFonts w:ascii="Times New Roman" w:hAnsi="Times New Roman"/>
          <w:sz w:val="22"/>
        </w:rPr>
        <w:t>ṁ</w:t>
      </w:r>
      <w:r>
        <w:rPr>
          <w:rFonts w:ascii="Times New Roman" w:hAnsi="Times New Roman"/>
          <w:sz w:val="22"/>
          <w:vertAlign w:val="subscript"/>
        </w:rPr>
        <w:t>in</w:t>
      </w:r>
      <w:r>
        <w:rPr>
          <w:rFonts w:ascii="Times New Roman" w:hAnsi="Times New Roman"/>
          <w:sz w:val="22"/>
        </w:rPr>
        <w:t>·ex</w:t>
      </w:r>
      <w:r>
        <w:rPr>
          <w:rFonts w:ascii="Times New Roman" w:hAnsi="Times New Roman"/>
          <w:sz w:val="22"/>
          <w:vertAlign w:val="subscript"/>
        </w:rPr>
        <w:t>in</w:t>
      </w:r>
      <w:r>
        <w:rPr>
          <w:rFonts w:ascii="Times New Roman" w:hAnsi="Times New Roman"/>
          <w:sz w:val="22"/>
        </w:rPr>
        <w:t xml:space="preserve"> – </w:t>
      </w:r>
      <w:r>
        <w:rPr>
          <w:rFonts w:ascii="Times New Roman" w:hAnsi="Times New Roman"/>
          <w:sz w:val="22"/>
        </w:rPr>
        <w:t>ṁ</w:t>
      </w:r>
      <w:r>
        <w:rPr>
          <w:rFonts w:ascii="Times New Roman" w:hAnsi="Times New Roman"/>
          <w:sz w:val="22"/>
          <w:vertAlign w:val="subscript"/>
        </w:rPr>
        <w:t>out</w:t>
      </w:r>
      <w:r>
        <w:rPr>
          <w:rFonts w:ascii="Times New Roman" w:hAnsi="Times New Roman"/>
          <w:sz w:val="22"/>
        </w:rPr>
        <w:t>·ex</w:t>
      </w:r>
      <w:r>
        <w:rPr>
          <w:rFonts w:ascii="Times New Roman" w:hAnsi="Times New Roman"/>
          <w:sz w:val="22"/>
          <w:vertAlign w:val="subscript"/>
        </w:rPr>
        <w:t>out</w:t>
      </w:r>
      <w:r>
        <w:rPr>
          <w:rFonts w:ascii="Times New Roman" w:hAnsi="Times New Roman"/>
          <w:sz w:val="22"/>
        </w:rPr>
        <w:t xml:space="preserve"> – </w:t>
      </w:r>
      <w:r>
        <w:rPr>
          <w:rFonts w:ascii="Times New Roman" w:hAnsi="Times New Roman"/>
          <w:sz w:val="22"/>
        </w:rPr>
        <w:t>Ėx</w:t>
      </w:r>
      <w:r>
        <w:rPr>
          <w:rFonts w:ascii="Times New Roman" w:hAnsi="Times New Roman"/>
          <w:sz w:val="22"/>
          <w:vertAlign w:val="subscript"/>
        </w:rPr>
        <w:t>destroyed</w:t>
      </w:r>
      <w:r>
        <w:rPr>
          <w:rFonts w:ascii="Times New Roman" w:hAnsi="Times New Roman"/>
          <w:sz w:val="22"/>
        </w:rPr>
        <w:tab/>
        <w:t>(2)</w:t>
      </w:r>
    </w:p>
    <w:p>
      <w:pPr>
        <w:ind w:firstLine="0"/>
      </w:pPr>
      <w:r>
        <w:rPr>
          <w:rFonts w:ascii="Times New Roman" w:hAnsi="Times New Roman"/>
          <w:sz w:val="22"/>
        </w:rPr>
        <w:t xml:space="preserve">unde: </w:t>
      </w:r>
      <w:r>
        <w:rPr>
          <w:rFonts w:ascii="Times New Roman" w:hAnsi="Times New Roman"/>
          <w:sz w:val="22"/>
        </w:rPr>
        <w:t>Ėx</w:t>
      </w:r>
      <w:r>
        <w:rPr>
          <w:rFonts w:ascii="Times New Roman" w:hAnsi="Times New Roman"/>
          <w:sz w:val="22"/>
          <w:vertAlign w:val="subscript"/>
        </w:rPr>
        <w:t>destroyed</w:t>
      </w:r>
      <w:r>
        <w:rPr>
          <w:rFonts w:ascii="Times New Roman" w:hAnsi="Times New Roman"/>
          <w:sz w:val="22"/>
        </w:rPr>
        <w:t xml:space="preserve"> = </w:t>
      </w:r>
      <w:r>
        <w:rPr>
          <w:rFonts w:ascii="Times New Roman" w:hAnsi="Times New Roman"/>
          <w:sz w:val="22"/>
        </w:rPr>
        <w:t>T₀·Ṡ</w:t>
      </w:r>
      <w:r>
        <w:rPr>
          <w:rFonts w:ascii="Times New Roman" w:hAnsi="Times New Roman"/>
          <w:sz w:val="22"/>
          <w:vertAlign w:val="subscript"/>
        </w:rPr>
        <w:t>gen</w:t>
      </w:r>
      <w:r>
        <w:rPr>
          <w:rFonts w:ascii="Times New Roman" w:hAnsi="Times New Roman"/>
          <w:sz w:val="22"/>
        </w:rPr>
        <w:t xml:space="preserve"> ≥ 0 (al doilea principiu); ex = exergie specifică [J/kg]; </w:t>
      </w:r>
      <w:r>
        <w:rPr>
          <w:rFonts w:ascii="Times New Roman" w:hAnsi="Times New Roman"/>
          <w:sz w:val="22"/>
        </w:rPr>
        <w:t>Ṡ</w:t>
      </w:r>
      <w:r>
        <w:rPr>
          <w:rFonts w:ascii="Times New Roman" w:hAnsi="Times New Roman"/>
          <w:sz w:val="22"/>
          <w:vertAlign w:val="subscript"/>
        </w:rPr>
        <w:t>gen</w:t>
      </w:r>
      <w:r>
        <w:rPr>
          <w:rFonts w:ascii="Times New Roman" w:hAnsi="Times New Roman"/>
          <w:sz w:val="22"/>
        </w:rPr>
        <w:t xml:space="preserve"> = rată producere entropie [W/K]</w:t>
      </w:r>
    </w:p>
    <w:p>
      <w:pPr>
        <w:ind w:firstLine="0"/>
      </w:pPr>
    </w:p>
    <w:p>
      <w:pPr>
        <w:pStyle w:val="SubHeading"/>
        <w:keepNext/>
      </w:pPr>
      <w:r>
        <w:t>2.1.3 Exergia termică a unui flux de căldură</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Ėx</w:t>
      </w:r>
      <w:r>
        <w:rPr>
          <w:rFonts w:ascii="Times New Roman" w:hAnsi="Times New Roman"/>
          <w:sz w:val="22"/>
          <w:vertAlign w:val="subscript"/>
        </w:rPr>
        <w:t>Q</w:t>
      </w:r>
      <w:r>
        <w:rPr>
          <w:rFonts w:ascii="Times New Roman" w:hAnsi="Times New Roman"/>
          <w:sz w:val="22"/>
        </w:rPr>
        <w:t xml:space="preserve"> = Q̇ · (1 – T₀/T)  =  Q̇ · </w:t>
      </w:r>
      <w:r>
        <w:rPr>
          <w:rFonts w:ascii="Times New Roman" w:hAnsi="Times New Roman"/>
          <w:sz w:val="22"/>
        </w:rPr>
        <w:t>η</w:t>
      </w:r>
      <w:r>
        <w:rPr>
          <w:rFonts w:ascii="Times New Roman" w:hAnsi="Times New Roman"/>
          <w:sz w:val="22"/>
          <w:vertAlign w:val="subscript"/>
        </w:rPr>
        <w:t>Carnot</w:t>
      </w:r>
      <w:r>
        <w:rPr>
          <w:rFonts w:ascii="Times New Roman" w:hAnsi="Times New Roman"/>
          <w:sz w:val="22"/>
        </w:rPr>
        <w:t>(T)</w:t>
      </w:r>
      <w:r>
        <w:rPr>
          <w:rFonts w:ascii="Times New Roman" w:hAnsi="Times New Roman"/>
          <w:sz w:val="22"/>
        </w:rPr>
        <w:tab/>
        <w:t>(3)</w:t>
      </w:r>
    </w:p>
    <w:p>
      <w:pPr>
        <w:ind w:firstLine="0"/>
      </w:pPr>
      <w:r>
        <w:rPr>
          <w:rFonts w:ascii="Times New Roman" w:hAnsi="Times New Roman"/>
          <w:sz w:val="22"/>
        </w:rPr>
        <w:t xml:space="preserve">unde: Q̇ = putere termică [W]; T = temperatura absolută a fluxului [K]; T₀ = temperatura de referință = 283 K; </w:t>
      </w:r>
      <w:r>
        <w:rPr>
          <w:rFonts w:ascii="Times New Roman" w:hAnsi="Times New Roman"/>
          <w:sz w:val="22"/>
        </w:rPr>
        <w:t>η</w:t>
      </w:r>
      <w:r>
        <w:rPr>
          <w:rFonts w:ascii="Times New Roman" w:hAnsi="Times New Roman"/>
          <w:sz w:val="22"/>
          <w:vertAlign w:val="subscript"/>
        </w:rPr>
        <w:t>Carnot</w:t>
      </w:r>
      <w:r>
        <w:rPr>
          <w:rFonts w:ascii="Times New Roman" w:hAnsi="Times New Roman"/>
          <w:sz w:val="22"/>
        </w:rPr>
        <w:t xml:space="preserve"> = factorul Carnot (limita superioară a eficienței exergetice termice)</w:t>
      </w:r>
    </w:p>
    <w:p>
      <w:pPr/>
      <w:r>
        <w:t>Această relație este fundamentală: exergia unui flux termic nu este o proprietate absolută a fluxului, ci depinde de diferența relativă față de mediul de referință. La T = T₀, exergia termică este zero — flux inutil din perspectivă termodinamică. La T → ∞, exergia termică tinde spre Q̇ (apropiindu-se de energia unui flux de lucru mecanic pur).</w:t>
      </w:r>
    </w:p>
    <w:p>
      <w:pPr>
        <w:ind w:firstLine="0"/>
      </w:pPr>
    </w:p>
    <w:p>
      <w:pPr>
        <w:pStyle w:val="SubHeading"/>
        <w:keepNext/>
      </w:pPr>
      <w:r>
        <w:t>2.2 Conținutul exergetic al principalilor purtători energetici</w:t>
      </w:r>
    </w:p>
    <w:p>
      <w:pPr>
        <w:ind w:firstLine="0"/>
      </w:pPr>
    </w:p>
    <w:p>
      <w:pPr/>
      <w:r>
        <w:t>Tabelul 1 prezintă conținutul exergetic al principalilor purtători energetici relevanți pentru sistemele DH, calculat la T₀ = 283 K. Datele demonstrează dramatic scăderea calității exergetice odată cu scăderea temperaturii:</w:t>
      </w:r>
    </w:p>
    <w:p>
      <w:pPr>
        <w:ind w:firstLine="0"/>
      </w:pPr>
    </w:p>
    <w:p>
      <w:pPr>
        <w:pStyle w:val="TableCaption"/>
      </w:pPr>
      <w:r>
        <w:t>Tabel 1. Conținut exergetic al purtătorilor energetici la T₀ = 283 K. Sursă: calcul propriu pe baza metodologiei Bejan (1988), Dincer &amp; Rosen (2013). Ex_termic calculat ca Q·(1–T₀/T); Ex_chimic conform NIST JANAF Tables.</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Purtător Energetic / Flux</w:t>
            </w:r>
          </w:p>
        </w:tc>
        <w:tc>
          <w:tcPr>
            <w:tcW w:type="dxa" w:w="1285"/>
          </w:tcPr>
          <w:p>
            <w:pPr>
              <w:spacing w:before="0" w:after="0"/>
              <w:ind w:firstLine="0"/>
              <w:jc w:val="left"/>
            </w:pPr>
            <w:r>
              <w:rPr>
                <w:rFonts w:ascii="Times New Roman" w:hAnsi="Times New Roman"/>
                <w:b/>
                <w:sz w:val="22"/>
              </w:rPr>
              <w:t>T furnizare (°C)</w:t>
            </w:r>
          </w:p>
        </w:tc>
        <w:tc>
          <w:tcPr>
            <w:tcW w:type="dxa" w:w="1285"/>
          </w:tcPr>
          <w:p>
            <w:pPr>
              <w:spacing w:before="0" w:after="0"/>
              <w:ind w:firstLine="0"/>
              <w:jc w:val="left"/>
            </w:pPr>
            <w:r>
              <w:rPr>
                <w:rFonts w:ascii="Times New Roman" w:hAnsi="Times New Roman"/>
                <w:b/>
                <w:sz w:val="22"/>
              </w:rPr>
              <w:t>E [kWh]</w:t>
            </w:r>
          </w:p>
        </w:tc>
        <w:tc>
          <w:tcPr>
            <w:tcW w:type="dxa" w:w="1285"/>
          </w:tcPr>
          <w:p>
            <w:pPr>
              <w:spacing w:before="0" w:after="0"/>
              <w:ind w:firstLine="0"/>
              <w:jc w:val="left"/>
            </w:pPr>
            <w:r>
              <w:rPr>
                <w:rFonts w:ascii="Times New Roman" w:hAnsi="Times New Roman"/>
                <w:b/>
                <w:sz w:val="22"/>
              </w:rPr>
              <w:t>Ex [kWh_ex]</w:t>
            </w:r>
          </w:p>
        </w:tc>
        <w:tc>
          <w:tcPr>
            <w:tcW w:type="dxa" w:w="1285"/>
          </w:tcPr>
          <w:p>
            <w:pPr>
              <w:spacing w:before="0" w:after="0"/>
              <w:ind w:firstLine="0"/>
              <w:jc w:val="left"/>
            </w:pPr>
            <w:r>
              <w:rPr>
                <w:rFonts w:ascii="Times New Roman" w:hAnsi="Times New Roman"/>
                <w:b/>
                <w:sz w:val="22"/>
              </w:rPr>
              <w:t>η_ex (%)</w:t>
            </w:r>
          </w:p>
        </w:tc>
        <w:tc>
          <w:tcPr>
            <w:tcW w:type="dxa" w:w="1285"/>
          </w:tcPr>
          <w:p>
            <w:pPr>
              <w:spacing w:before="0" w:after="0"/>
              <w:ind w:firstLine="0"/>
              <w:jc w:val="left"/>
            </w:pPr>
            <w:r>
              <w:rPr>
                <w:rFonts w:ascii="Times New Roman" w:hAnsi="Times New Roman"/>
                <w:b/>
                <w:sz w:val="22"/>
              </w:rPr>
              <w:t>Aplicație tipică / Observație</w:t>
            </w:r>
          </w:p>
        </w:tc>
      </w:tr>
      <w:tr>
        <w:tc>
          <w:tcPr>
            <w:tcW w:type="dxa" w:w="1285"/>
          </w:tcPr>
          <w:p>
            <w:pPr>
              <w:spacing w:before="0" w:after="0"/>
              <w:ind w:firstLine="0"/>
              <w:jc w:val="left"/>
            </w:pPr>
            <w:r>
              <w:rPr>
                <w:rFonts w:ascii="Times New Roman" w:hAnsi="Times New Roman"/>
                <w:sz w:val="22"/>
              </w:rPr>
              <w:t>Electricitate (curent continuu/alternativ)</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Forma nobilă; rezervată sarcinilor ireductibile</w:t>
            </w:r>
          </w:p>
        </w:tc>
      </w:tr>
      <w:tr>
        <w:tc>
          <w:tcPr>
            <w:tcW w:type="dxa" w:w="1285"/>
          </w:tcPr>
          <w:p>
            <w:pPr>
              <w:spacing w:before="0" w:after="0"/>
              <w:ind w:firstLine="0"/>
              <w:jc w:val="left"/>
            </w:pPr>
            <w:r>
              <w:rPr>
                <w:rFonts w:ascii="Times New Roman" w:hAnsi="Times New Roman"/>
                <w:sz w:val="22"/>
              </w:rPr>
              <w:t>Gaz natural (PCI 10.55 kWh/Nm³)</w:t>
            </w:r>
          </w:p>
        </w:tc>
        <w:tc>
          <w:tcPr>
            <w:tcW w:type="dxa" w:w="1285"/>
          </w:tcPr>
          <w:p>
            <w:pPr>
              <w:spacing w:before="0" w:after="0"/>
              <w:ind w:firstLine="0"/>
              <w:jc w:val="left"/>
            </w:pPr>
            <w:r>
              <w:rPr>
                <w:rFonts w:ascii="Times New Roman" w:hAnsi="Times New Roman"/>
                <w:sz w:val="22"/>
              </w:rPr>
              <w:t>~1500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93</w:t>
            </w:r>
          </w:p>
        </w:tc>
        <w:tc>
          <w:tcPr>
            <w:tcW w:type="dxa" w:w="1285"/>
          </w:tcPr>
          <w:p>
            <w:pPr>
              <w:spacing w:before="0" w:after="0"/>
              <w:ind w:firstLine="0"/>
              <w:jc w:val="left"/>
            </w:pPr>
            <w:r>
              <w:rPr>
                <w:rFonts w:ascii="Times New Roman" w:hAnsi="Times New Roman"/>
                <w:sz w:val="22"/>
              </w:rPr>
              <w:t>~93%</w:t>
            </w:r>
          </w:p>
        </w:tc>
        <w:tc>
          <w:tcPr>
            <w:tcW w:type="dxa" w:w="1285"/>
          </w:tcPr>
          <w:p>
            <w:pPr>
              <w:spacing w:before="0" w:after="0"/>
              <w:ind w:firstLine="0"/>
              <w:jc w:val="left"/>
            </w:pPr>
            <w:r>
              <w:rPr>
                <w:rFonts w:ascii="Times New Roman" w:hAnsi="Times New Roman"/>
                <w:sz w:val="22"/>
              </w:rPr>
              <w:t>Combustibil primar de referință; ardere = degradare masivă</w:t>
            </w:r>
          </w:p>
        </w:tc>
      </w:tr>
      <w:tr>
        <w:tc>
          <w:tcPr>
            <w:tcW w:type="dxa" w:w="1285"/>
          </w:tcPr>
          <w:p>
            <w:pPr>
              <w:spacing w:before="0" w:after="0"/>
              <w:ind w:firstLine="0"/>
              <w:jc w:val="left"/>
            </w:pPr>
            <w:r>
              <w:rPr>
                <w:rFonts w:ascii="Times New Roman" w:hAnsi="Times New Roman"/>
                <w:sz w:val="22"/>
              </w:rPr>
              <w:t>Abur saturat la 200°C / 15 bar</w:t>
            </w:r>
          </w:p>
        </w:tc>
        <w:tc>
          <w:tcPr>
            <w:tcW w:type="dxa" w:w="1285"/>
          </w:tcPr>
          <w:p>
            <w:pPr>
              <w:spacing w:before="0" w:after="0"/>
              <w:ind w:firstLine="0"/>
              <w:jc w:val="left"/>
            </w:pPr>
            <w:r>
              <w:rPr>
                <w:rFonts w:ascii="Times New Roman" w:hAnsi="Times New Roman"/>
                <w:sz w:val="22"/>
              </w:rPr>
              <w:t>200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Procese industriale înaltă-T, turbine CHP</w:t>
            </w:r>
          </w:p>
        </w:tc>
      </w:tr>
      <w:tr>
        <w:tc>
          <w:tcPr>
            <w:tcW w:type="dxa" w:w="1285"/>
          </w:tcPr>
          <w:p>
            <w:pPr>
              <w:spacing w:before="0" w:after="0"/>
              <w:ind w:firstLine="0"/>
              <w:jc w:val="left"/>
            </w:pPr>
            <w:r>
              <w:rPr>
                <w:rFonts w:ascii="Times New Roman" w:hAnsi="Times New Roman"/>
                <w:sz w:val="22"/>
              </w:rPr>
              <w:t>Apă caldă la 120°C (DH 2G)</w:t>
            </w:r>
          </w:p>
        </w:tc>
        <w:tc>
          <w:tcPr>
            <w:tcW w:type="dxa" w:w="1285"/>
          </w:tcPr>
          <w:p>
            <w:pPr>
              <w:spacing w:before="0" w:after="0"/>
              <w:ind w:firstLine="0"/>
              <w:jc w:val="left"/>
            </w:pPr>
            <w:r>
              <w:rPr>
                <w:rFonts w:ascii="Times New Roman" w:hAnsi="Times New Roman"/>
                <w:sz w:val="22"/>
              </w:rPr>
              <w:t>120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~30</w:t>
            </w:r>
          </w:p>
        </w:tc>
        <w:tc>
          <w:tcPr>
            <w:tcW w:type="dxa" w:w="1285"/>
          </w:tcPr>
          <w:p>
            <w:pPr>
              <w:spacing w:before="0" w:after="0"/>
              <w:ind w:firstLine="0"/>
              <w:jc w:val="left"/>
            </w:pPr>
            <w:r>
              <w:rPr>
                <w:rFonts w:ascii="Times New Roman" w:hAnsi="Times New Roman"/>
                <w:sz w:val="22"/>
              </w:rPr>
              <w:t>~30%</w:t>
            </w:r>
          </w:p>
        </w:tc>
        <w:tc>
          <w:tcPr>
            <w:tcW w:type="dxa" w:w="1285"/>
          </w:tcPr>
          <w:p>
            <w:pPr>
              <w:spacing w:before="0" w:after="0"/>
              <w:ind w:firstLine="0"/>
              <w:jc w:val="left"/>
            </w:pPr>
            <w:r>
              <w:rPr>
                <w:rFonts w:ascii="Times New Roman" w:hAnsi="Times New Roman"/>
                <w:sz w:val="22"/>
              </w:rPr>
              <w:t>DH 2G; supraîncălzire excesivă față de cerere</w:t>
            </w:r>
          </w:p>
        </w:tc>
      </w:tr>
      <w:tr>
        <w:tc>
          <w:tcPr>
            <w:tcW w:type="dxa" w:w="1285"/>
          </w:tcPr>
          <w:p>
            <w:pPr>
              <w:spacing w:before="0" w:after="0"/>
              <w:ind w:firstLine="0"/>
              <w:jc w:val="left"/>
            </w:pPr>
            <w:r>
              <w:rPr>
                <w:rFonts w:ascii="Times New Roman" w:hAnsi="Times New Roman"/>
                <w:sz w:val="22"/>
              </w:rPr>
              <w:t>Apă caldă la 90°C (DH 3G — N1)</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DH 3G standard; radiatoare convecție; calitate: moderată</w:t>
            </w:r>
          </w:p>
        </w:tc>
      </w:tr>
      <w:tr>
        <w:tc>
          <w:tcPr>
            <w:tcW w:type="dxa" w:w="1285"/>
          </w:tcPr>
          <w:p>
            <w:pPr>
              <w:spacing w:before="0" w:after="0"/>
              <w:ind w:firstLine="0"/>
              <w:jc w:val="left"/>
            </w:pPr>
            <w:r>
              <w:rPr>
                <w:rFonts w:ascii="Times New Roman" w:hAnsi="Times New Roman"/>
                <w:sz w:val="22"/>
              </w:rPr>
              <w:t>Apă caldă la 70°C (DH 4G — N1/N2)</w:t>
            </w:r>
          </w:p>
        </w:tc>
        <w:tc>
          <w:tcPr>
            <w:tcW w:type="dxa" w:w="1285"/>
          </w:tcPr>
          <w:p>
            <w:pPr>
              <w:spacing w:before="0" w:after="0"/>
              <w:ind w:firstLine="0"/>
              <w:jc w:val="left"/>
            </w:pPr>
            <w:r>
              <w:rPr>
                <w:rFonts w:ascii="Times New Roman" w:hAnsi="Times New Roman"/>
                <w:sz w:val="22"/>
              </w:rPr>
              <w:t>70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~15</w:t>
            </w:r>
          </w:p>
        </w:tc>
        <w:tc>
          <w:tcPr>
            <w:tcW w:type="dxa" w:w="1285"/>
          </w:tcPr>
          <w:p>
            <w:pPr>
              <w:spacing w:before="0" w:after="0"/>
              <w:ind w:firstLine="0"/>
              <w:jc w:val="left"/>
            </w:pPr>
            <w:r>
              <w:rPr>
                <w:rFonts w:ascii="Times New Roman" w:hAnsi="Times New Roman"/>
                <w:sz w:val="22"/>
              </w:rPr>
              <w:t>~15%</w:t>
            </w:r>
          </w:p>
        </w:tc>
        <w:tc>
          <w:tcPr>
            <w:tcW w:type="dxa" w:w="1285"/>
          </w:tcPr>
          <w:p>
            <w:pPr>
              <w:spacing w:before="0" w:after="0"/>
              <w:ind w:firstLine="0"/>
              <w:jc w:val="left"/>
            </w:pPr>
            <w:r>
              <w:rPr>
                <w:rFonts w:ascii="Times New Roman" w:hAnsi="Times New Roman"/>
                <w:sz w:val="22"/>
              </w:rPr>
              <w:t>Limita 4G; convector joasă-T; calitate: redusă</w:t>
            </w:r>
          </w:p>
        </w:tc>
      </w:tr>
      <w:tr>
        <w:tc>
          <w:tcPr>
            <w:tcW w:type="dxa" w:w="1285"/>
          </w:tcPr>
          <w:p>
            <w:pPr>
              <w:spacing w:before="0" w:after="0"/>
              <w:ind w:firstLine="0"/>
              <w:jc w:val="left"/>
            </w:pPr>
            <w:r>
              <w:rPr>
                <w:rFonts w:ascii="Times New Roman" w:hAnsi="Times New Roman"/>
                <w:sz w:val="22"/>
              </w:rPr>
              <w:t>Apă caldă la 50°C (DH 4G — N2)</w:t>
            </w:r>
          </w:p>
        </w:tc>
        <w:tc>
          <w:tcPr>
            <w:tcW w:type="dxa" w:w="1285"/>
          </w:tcPr>
          <w:p>
            <w:pPr>
              <w:spacing w:before="0" w:after="0"/>
              <w:ind w:firstLine="0"/>
              <w:jc w:val="left"/>
            </w:pPr>
            <w:r>
              <w:rPr>
                <w:rFonts w:ascii="Times New Roman" w:hAnsi="Times New Roman"/>
                <w:sz w:val="22"/>
              </w:rPr>
              <w:t>50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~8</w:t>
            </w:r>
          </w:p>
        </w:tc>
        <w:tc>
          <w:tcPr>
            <w:tcW w:type="dxa" w:w="1285"/>
          </w:tcPr>
          <w:p>
            <w:pPr>
              <w:spacing w:before="0" w:after="0"/>
              <w:ind w:firstLine="0"/>
              <w:jc w:val="left"/>
            </w:pPr>
            <w:r>
              <w:rPr>
                <w:rFonts w:ascii="Times New Roman" w:hAnsi="Times New Roman"/>
                <w:sz w:val="22"/>
              </w:rPr>
              <w:t>~8%</w:t>
            </w:r>
          </w:p>
        </w:tc>
        <w:tc>
          <w:tcPr>
            <w:tcW w:type="dxa" w:w="1285"/>
          </w:tcPr>
          <w:p>
            <w:pPr>
              <w:spacing w:before="0" w:after="0"/>
              <w:ind w:firstLine="0"/>
              <w:jc w:val="left"/>
            </w:pPr>
            <w:r>
              <w:rPr>
                <w:rFonts w:ascii="Times New Roman" w:hAnsi="Times New Roman"/>
                <w:sz w:val="22"/>
              </w:rPr>
              <w:t>DH 4G; panouri radiante; corespunde cererii reale</w:t>
            </w:r>
          </w:p>
        </w:tc>
      </w:tr>
      <w:tr>
        <w:tc>
          <w:tcPr>
            <w:tcW w:type="dxa" w:w="1285"/>
          </w:tcPr>
          <w:p>
            <w:pPr>
              <w:spacing w:before="0" w:after="0"/>
              <w:ind w:firstLine="0"/>
              <w:jc w:val="left"/>
            </w:pPr>
            <w:r>
              <w:rPr>
                <w:rFonts w:ascii="Times New Roman" w:hAnsi="Times New Roman"/>
                <w:sz w:val="22"/>
              </w:rPr>
              <w:t>Apă caldă la 40°C (DH 4G/5G — N3)</w:t>
            </w:r>
          </w:p>
        </w:tc>
        <w:tc>
          <w:tcPr>
            <w:tcW w:type="dxa" w:w="1285"/>
          </w:tcPr>
          <w:p>
            <w:pPr>
              <w:spacing w:before="0" w:after="0"/>
              <w:ind w:firstLine="0"/>
              <w:jc w:val="left"/>
            </w:pPr>
            <w:r>
              <w:rPr>
                <w:rFonts w:ascii="Times New Roman" w:hAnsi="Times New Roman"/>
                <w:sz w:val="22"/>
              </w:rPr>
              <w:t>40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ACM, planșeu radiant, sere; quality matching optim</w:t>
            </w:r>
          </w:p>
        </w:tc>
      </w:tr>
      <w:tr>
        <w:tc>
          <w:tcPr>
            <w:tcW w:type="dxa" w:w="1285"/>
          </w:tcPr>
          <w:p>
            <w:pPr>
              <w:spacing w:before="0" w:after="0"/>
              <w:ind w:firstLine="0"/>
              <w:jc w:val="left"/>
            </w:pPr>
            <w:r>
              <w:rPr>
                <w:rFonts w:ascii="Times New Roman" w:hAnsi="Times New Roman"/>
                <w:sz w:val="22"/>
              </w:rPr>
              <w:t>Apă caldă la 35°C (DH 5G — N3)</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Limita inferioară DH; pompă căldură necesară pentru ACM</w:t>
            </w:r>
          </w:p>
        </w:tc>
      </w:tr>
      <w:tr>
        <w:tc>
          <w:tcPr>
            <w:tcW w:type="dxa" w:w="1285"/>
          </w:tcPr>
          <w:p>
            <w:pPr>
              <w:spacing w:before="0" w:after="0"/>
              <w:ind w:firstLine="0"/>
              <w:jc w:val="left"/>
            </w:pPr>
            <w:r>
              <w:rPr>
                <w:rFonts w:ascii="Times New Roman" w:hAnsi="Times New Roman"/>
                <w:sz w:val="22"/>
              </w:rPr>
              <w:t>Apă la temperatura ambiantă (5G/TSN)</w:t>
            </w:r>
          </w:p>
        </w:tc>
        <w:tc>
          <w:tcPr>
            <w:tcW w:type="dxa" w:w="1285"/>
          </w:tcPr>
          <w:p>
            <w:pPr>
              <w:spacing w:before="0" w:after="0"/>
              <w:ind w:firstLine="0"/>
              <w:jc w:val="left"/>
            </w:pPr>
            <w:r>
              <w:rPr>
                <w:rFonts w:ascii="Times New Roman" w:hAnsi="Times New Roman"/>
                <w:sz w:val="22"/>
              </w:rPr>
              <w:t>10–25</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~0–1</w:t>
            </w:r>
          </w:p>
        </w:tc>
        <w:tc>
          <w:tcPr>
            <w:tcW w:type="dxa" w:w="1285"/>
          </w:tcPr>
          <w:p>
            <w:pPr>
              <w:spacing w:before="0" w:after="0"/>
              <w:ind w:firstLine="0"/>
              <w:jc w:val="left"/>
            </w:pPr>
            <w:r>
              <w:rPr>
                <w:rFonts w:ascii="Times New Roman" w:hAnsi="Times New Roman"/>
                <w:sz w:val="22"/>
              </w:rPr>
              <w:t>~0–1%</w:t>
            </w:r>
          </w:p>
        </w:tc>
        <w:tc>
          <w:tcPr>
            <w:tcW w:type="dxa" w:w="1285"/>
          </w:tcPr>
          <w:p>
            <w:pPr>
              <w:spacing w:before="0" w:after="0"/>
              <w:ind w:firstLine="0"/>
              <w:jc w:val="left"/>
            </w:pPr>
            <w:r>
              <w:rPr>
                <w:rFonts w:ascii="Times New Roman" w:hAnsi="Times New Roman"/>
                <w:sz w:val="22"/>
              </w:rPr>
              <w:t>Stare de referință; circuit neutru termic TSN</w:t>
            </w:r>
          </w:p>
        </w:tc>
      </w:tr>
    </w:tbl>
    <w:p>
      <w:pPr>
        <w:ind w:firstLine="0"/>
      </w:pPr>
    </w:p>
    <w:p>
      <w:pPr/>
      <w:r>
        <w:t>Tabelul 1 revelă o ierarhie termodinamică fundamentală a purtătorilor energetici: electricitatea (~100% exergie) ocupă vârful, urmată de combustibilii chimici (~93%), abur de înaltă temperatură (~55%), apă caldă la 90°C (~20%), ajungând la exergii practic neglijabile la temperaturi sub 40°C (~4–5%). Această ierarhie impune regula de aur: purtătorii cu exergie ridicată nu trebuie utilizați pentru aplicații cu cerințe de exergie scăzută.</w:t>
      </w:r>
    </w:p>
    <w:p>
      <w:pPr/>
      <w:r>
        <w:rPr>
          <w:b/>
        </w:rPr>
        <w:t>⚠ VANDALISM TERMODINAMIC: Utilizarea electricității (~100% exergie) pentru încălzire spații la 40°C (~4% exergie) distruge ireversibil 96% din exergia primară. La scara sistemului energetic național românesc, acest tip de vandalism termodinamic reprezintă o pierdere de valoare exergetică estimată la 2–4 miliarde EUR/an.</w:t>
      </w:r>
    </w:p>
    <w:p>
      <w:pPr>
        <w:ind w:firstLine="0"/>
      </w:pPr>
    </w:p>
    <w:p>
      <w:pPr>
        <w:pStyle w:val="ChapterHeading"/>
        <w:keepNext/>
      </w:pPr>
      <w:r>
        <w:t>3. Formalizarea Factorului Qm — Derivare Matematică Completă</w:t>
      </w:r>
    </w:p>
    <w:p>
      <w:pPr>
        <w:ind w:firstLine="0"/>
      </w:pPr>
    </w:p>
    <w:p>
      <w:pPr>
        <w:pStyle w:val="SubHeading"/>
        <w:keepNext/>
      </w:pPr>
      <w:r>
        <w:t>3.1 Definiția formală a factorului qm (qmf)</w:t>
      </w:r>
    </w:p>
    <w:p>
      <w:pPr>
        <w:ind w:firstLine="0"/>
      </w:pPr>
    </w:p>
    <w:p>
      <w:pPr/>
      <w:r>
        <w:t>Fie un sistem energetic care deservește o aplicație (proces de transfer termic, producere mecanică, etc.) cu o cerință de exergie Ex_cerere. Sistemul este alimentat de o sursă cu exergie Ex_furnizat, unde Ex_furnizat ≥ Ex_cerere (condiție necesară pentru funcționare, implicând posibilitatea ireversibilității). Factorul QM este definit:</w:t>
      </w: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QMF = </w:t>
      </w:r>
      <w:r>
        <w:rPr>
          <w:rFonts w:ascii="Times New Roman" w:hAnsi="Times New Roman"/>
          <w:sz w:val="22"/>
        </w:rPr>
        <w:t>Ex</w:t>
      </w:r>
      <w:r>
        <w:rPr>
          <w:rFonts w:ascii="Times New Roman" w:hAnsi="Times New Roman"/>
          <w:sz w:val="22"/>
          <w:vertAlign w:val="subscript"/>
        </w:rPr>
        <w:t>cerere</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furnizat</w:t>
      </w:r>
      <w:r>
        <w:rPr>
          <w:rFonts w:ascii="Times New Roman" w:hAnsi="Times New Roman"/>
          <w:sz w:val="22"/>
        </w:rPr>
        <w:t xml:space="preserve">  =  [Q · (1 – </w:t>
      </w:r>
      <w:r>
        <w:rPr>
          <w:rFonts w:ascii="Times New Roman" w:hAnsi="Times New Roman"/>
          <w:sz w:val="22"/>
        </w:rPr>
        <w:t>T₀/T</w:t>
      </w:r>
      <w:r>
        <w:rPr>
          <w:rFonts w:ascii="Times New Roman" w:hAnsi="Times New Roman"/>
          <w:sz w:val="22"/>
          <w:vertAlign w:val="subscript"/>
        </w:rPr>
        <w:t>cerere</w:t>
      </w:r>
      <w:r>
        <w:rPr>
          <w:rFonts w:ascii="Times New Roman" w:hAnsi="Times New Roman"/>
          <w:sz w:val="22"/>
        </w:rPr>
        <w:t xml:space="preserve">)] / [Q · (1 – </w:t>
      </w:r>
      <w:r>
        <w:rPr>
          <w:rFonts w:ascii="Times New Roman" w:hAnsi="Times New Roman"/>
          <w:sz w:val="22"/>
        </w:rPr>
        <w:t>T₀/T</w:t>
      </w:r>
      <w:r>
        <w:rPr>
          <w:rFonts w:ascii="Times New Roman" w:hAnsi="Times New Roman"/>
          <w:sz w:val="22"/>
          <w:vertAlign w:val="subscript"/>
        </w:rPr>
        <w:t>sursa</w:t>
      </w:r>
      <w:r>
        <w:rPr>
          <w:rFonts w:ascii="Times New Roman" w:hAnsi="Times New Roman"/>
          <w:sz w:val="22"/>
        </w:rPr>
        <w:t xml:space="preserve">)]  =  (1 – </w:t>
      </w:r>
      <w:r>
        <w:rPr>
          <w:rFonts w:ascii="Times New Roman" w:hAnsi="Times New Roman"/>
          <w:sz w:val="22"/>
        </w:rPr>
        <w:t>T₀/T</w:t>
      </w:r>
      <w:r>
        <w:rPr>
          <w:rFonts w:ascii="Times New Roman" w:hAnsi="Times New Roman"/>
          <w:sz w:val="22"/>
          <w:vertAlign w:val="subscript"/>
        </w:rPr>
        <w:t>cerere</w:t>
      </w:r>
      <w:r>
        <w:rPr>
          <w:rFonts w:ascii="Times New Roman" w:hAnsi="Times New Roman"/>
          <w:sz w:val="22"/>
        </w:rPr>
        <w:t xml:space="preserve">) / (1 – </w:t>
      </w:r>
      <w:r>
        <w:rPr>
          <w:rFonts w:ascii="Times New Roman" w:hAnsi="Times New Roman"/>
          <w:sz w:val="22"/>
        </w:rPr>
        <w:t>T₀/T</w:t>
      </w:r>
      <w:r>
        <w:rPr>
          <w:rFonts w:ascii="Times New Roman" w:hAnsi="Times New Roman"/>
          <w:sz w:val="22"/>
          <w:vertAlign w:val="subscript"/>
        </w:rPr>
        <w:t>sursa</w:t>
      </w:r>
      <w:r>
        <w:rPr>
          <w:rFonts w:ascii="Times New Roman" w:hAnsi="Times New Roman"/>
          <w:sz w:val="22"/>
        </w:rPr>
        <w:t>)</w:t>
      </w:r>
      <w:r>
        <w:rPr>
          <w:rFonts w:ascii="Times New Roman" w:hAnsi="Times New Roman"/>
          <w:sz w:val="22"/>
        </w:rPr>
        <w:tab/>
        <w:t>(4)</w:t>
      </w:r>
    </w:p>
    <w:p>
      <w:pPr>
        <w:ind w:firstLine="0"/>
      </w:pPr>
      <w:r>
        <w:rPr>
          <w:rFonts w:ascii="Times New Roman" w:hAnsi="Times New Roman"/>
          <w:sz w:val="22"/>
        </w:rPr>
        <w:t>Domeniu de definiție: QMF ∈ (0, +∞); Valoare ideală: QMF = 1 (matching perfect); QMF &lt; 1: mismatch (supra-calificare sursă); QMF &gt; 1: sub-calificare sursă (imposibil energetic fără conversie)</w:t>
      </w:r>
    </w:p>
    <w:p>
      <w:pPr/>
      <w:r>
        <w:t>Simplificând, pentru aplicații termice (T₀ = 283 K, T exprimate în Kelvin):</w:t>
      </w:r>
    </w:p>
    <w:p>
      <w:pPr>
        <w:ind w:firstLine="0"/>
        <w:tabs>
          <w:tab w:val="center" w:pos="3855"/>
          <w:tab w:val="right" w:pos="7710"/>
        </w:tabs>
        <w:jc w:val="left"/>
      </w:pPr>
      <w:r>
        <w:rPr>
          <w:rFonts w:ascii="Times New Roman" w:hAnsi="Times New Roman"/>
          <w:sz w:val="22"/>
        </w:rPr>
        <w:tab/>
      </w:r>
      <w:r>
        <w:rPr>
          <w:rFonts w:ascii="Times New Roman" w:hAnsi="Times New Roman"/>
          <w:sz w:val="22"/>
        </w:rPr>
        <w:t>QMF(T</w:t>
      </w:r>
      <w:r>
        <w:rPr>
          <w:rFonts w:ascii="Times New Roman" w:hAnsi="Times New Roman"/>
          <w:sz w:val="22"/>
          <w:vertAlign w:val="subscript"/>
        </w:rPr>
        <w:t>cerere</w:t>
      </w:r>
      <w:r>
        <w:rPr>
          <w:rFonts w:ascii="Times New Roman" w:hAnsi="Times New Roman"/>
          <w:sz w:val="22"/>
        </w:rPr>
        <w:t xml:space="preserve">, </w:t>
      </w:r>
      <w:r>
        <w:rPr>
          <w:rFonts w:ascii="Times New Roman" w:hAnsi="Times New Roman"/>
          <w:sz w:val="22"/>
        </w:rPr>
        <w:t>T</w:t>
      </w:r>
      <w:r>
        <w:rPr>
          <w:rFonts w:ascii="Times New Roman" w:hAnsi="Times New Roman"/>
          <w:sz w:val="22"/>
          <w:vertAlign w:val="subscript"/>
        </w:rPr>
        <w:t>sursa</w:t>
      </w:r>
      <w:r>
        <w:rPr>
          <w:rFonts w:ascii="Times New Roman" w:hAnsi="Times New Roman"/>
          <w:sz w:val="22"/>
        </w:rPr>
        <w:t xml:space="preserve">) = </w:t>
      </w:r>
      <w:r>
        <w:rPr>
          <w:rFonts w:ascii="Times New Roman" w:hAnsi="Times New Roman"/>
          <w:sz w:val="22"/>
        </w:rPr>
        <w:t>(T</w:t>
      </w:r>
      <w:r>
        <w:rPr>
          <w:rFonts w:ascii="Times New Roman" w:hAnsi="Times New Roman"/>
          <w:sz w:val="22"/>
          <w:vertAlign w:val="subscript"/>
        </w:rPr>
        <w:t>sursa</w:t>
      </w:r>
      <w:r>
        <w:rPr>
          <w:rFonts w:ascii="Times New Roman" w:hAnsi="Times New Roman"/>
          <w:sz w:val="22"/>
        </w:rPr>
        <w:t xml:space="preserve"> – T₀) · </w:t>
      </w:r>
      <w:r>
        <w:rPr>
          <w:rFonts w:ascii="Times New Roman" w:hAnsi="Times New Roman"/>
          <w:sz w:val="22"/>
        </w:rPr>
        <w:t>T</w:t>
      </w:r>
      <w:r>
        <w:rPr>
          <w:rFonts w:ascii="Times New Roman" w:hAnsi="Times New Roman"/>
          <w:sz w:val="22"/>
          <w:vertAlign w:val="subscript"/>
        </w:rPr>
        <w:t>cerere</w:t>
      </w:r>
      <w:r>
        <w:rPr>
          <w:rFonts w:ascii="Times New Roman" w:hAnsi="Times New Roman"/>
          <w:sz w:val="22"/>
        </w:rPr>
        <w:t xml:space="preserve"> / </w:t>
      </w:r>
      <w:r>
        <w:rPr>
          <w:rFonts w:ascii="Times New Roman" w:hAnsi="Times New Roman"/>
          <w:sz w:val="22"/>
        </w:rPr>
        <w:t>[(T</w:t>
      </w:r>
      <w:r>
        <w:rPr>
          <w:rFonts w:ascii="Times New Roman" w:hAnsi="Times New Roman"/>
          <w:sz w:val="22"/>
          <w:vertAlign w:val="subscript"/>
        </w:rPr>
        <w:t>cerere</w:t>
      </w:r>
      <w:r>
        <w:rPr>
          <w:rFonts w:ascii="Times New Roman" w:hAnsi="Times New Roman"/>
          <w:sz w:val="22"/>
        </w:rPr>
        <w:t xml:space="preserve"> – T₀) · </w:t>
      </w:r>
      <w:r>
        <w:rPr>
          <w:rFonts w:ascii="Times New Roman" w:hAnsi="Times New Roman"/>
          <w:sz w:val="22"/>
        </w:rPr>
        <w:t>T</w:t>
      </w:r>
      <w:r>
        <w:rPr>
          <w:rFonts w:ascii="Times New Roman" w:hAnsi="Times New Roman"/>
          <w:sz w:val="22"/>
          <w:vertAlign w:val="subscript"/>
        </w:rPr>
        <w:t>sursa</w:t>
      </w:r>
      <w:r>
        <w:rPr>
          <w:rFonts w:ascii="Times New Roman" w:hAnsi="Times New Roman"/>
          <w:sz w:val="22"/>
        </w:rPr>
        <w:t>]</w:t>
      </w:r>
      <w:r>
        <w:rPr>
          <w:rFonts w:ascii="Times New Roman" w:hAnsi="Times New Roman"/>
          <w:sz w:val="22"/>
        </w:rPr>
        <w:tab/>
        <w:t>(5)</w:t>
      </w:r>
    </w:p>
    <w:p>
      <w:pPr>
        <w:ind w:firstLine="0"/>
      </w:pPr>
      <w:r>
        <w:rPr>
          <w:rFonts w:ascii="Times New Roman" w:hAnsi="Times New Roman"/>
          <w:sz w:val="22"/>
        </w:rPr>
        <w:t xml:space="preserve">Condiție de Quality Matching complet: QMF → 1 ⟺ </w:t>
      </w:r>
      <w:r>
        <w:rPr>
          <w:rFonts w:ascii="Times New Roman" w:hAnsi="Times New Roman"/>
          <w:sz w:val="22"/>
        </w:rPr>
        <w:t>T</w:t>
      </w:r>
      <w:r>
        <w:rPr>
          <w:rFonts w:ascii="Times New Roman" w:hAnsi="Times New Roman"/>
          <w:sz w:val="22"/>
          <w:vertAlign w:val="subscript"/>
        </w:rPr>
        <w:t>sursa</w:t>
      </w:r>
      <w:r>
        <w:rPr>
          <w:rFonts w:ascii="Times New Roman" w:hAnsi="Times New Roman"/>
          <w:sz w:val="22"/>
        </w:rPr>
        <w:t xml:space="preserve"> → </w:t>
      </w:r>
      <w:r>
        <w:rPr>
          <w:rFonts w:ascii="Times New Roman" w:hAnsi="Times New Roman"/>
          <w:sz w:val="22"/>
        </w:rPr>
        <w:t>T</w:t>
      </w:r>
      <w:r>
        <w:rPr>
          <w:rFonts w:ascii="Times New Roman" w:hAnsi="Times New Roman"/>
          <w:sz w:val="22"/>
          <w:vertAlign w:val="subscript"/>
        </w:rPr>
        <w:t>cerere</w:t>
      </w:r>
      <w:r>
        <w:rPr>
          <w:rFonts w:ascii="Times New Roman" w:hAnsi="Times New Roman"/>
          <w:sz w:val="22"/>
        </w:rPr>
        <w:t xml:space="preserve">; Condiție de mismatch sever: QMF → 0 ⟺ </w:t>
      </w:r>
      <w:r>
        <w:rPr>
          <w:rFonts w:ascii="Times New Roman" w:hAnsi="Times New Roman"/>
          <w:sz w:val="22"/>
        </w:rPr>
        <w:t>T</w:t>
      </w:r>
      <w:r>
        <w:rPr>
          <w:rFonts w:ascii="Times New Roman" w:hAnsi="Times New Roman"/>
          <w:sz w:val="22"/>
          <w:vertAlign w:val="subscript"/>
        </w:rPr>
        <w:t>sursa</w:t>
      </w:r>
      <w:r>
        <w:rPr>
          <w:rFonts w:ascii="Times New Roman" w:hAnsi="Times New Roman"/>
          <w:sz w:val="22"/>
        </w:rPr>
        <w:t xml:space="preserve"> &gt;&gt; </w:t>
      </w:r>
      <w:r>
        <w:rPr>
          <w:rFonts w:ascii="Times New Roman" w:hAnsi="Times New Roman"/>
          <w:sz w:val="22"/>
        </w:rPr>
        <w:t>T</w:t>
      </w:r>
      <w:r>
        <w:rPr>
          <w:rFonts w:ascii="Times New Roman" w:hAnsi="Times New Roman"/>
          <w:sz w:val="22"/>
          <w:vertAlign w:val="subscript"/>
        </w:rPr>
        <w:t>cerere</w:t>
      </w:r>
    </w:p>
    <w:p>
      <w:pPr>
        <w:ind w:firstLine="0"/>
      </w:pPr>
    </w:p>
    <w:p>
      <w:pPr>
        <w:pStyle w:val="SubHeading"/>
        <w:keepNext/>
      </w:pPr>
      <w:r>
        <w:t>3.2 Exergia inutilă distrusă prin mismatch — derivarea ex_mismatch</w:t>
      </w:r>
    </w:p>
    <w:p>
      <w:pPr>
        <w:ind w:firstLine="0"/>
      </w:pPr>
    </w:p>
    <w:p>
      <w:pPr/>
      <w:r>
        <w:t>Exergia distrusă prin mismatch calitativ (distrugere de exergie datorată utilizării unei surse supra-calificate față de cerere) se calculează ca:</w:t>
      </w:r>
    </w:p>
    <w:p>
      <w:pPr>
        <w:ind w:firstLine="0"/>
        <w:tabs>
          <w:tab w:val="center" w:pos="3855"/>
          <w:tab w:val="right" w:pos="7710"/>
        </w:tabs>
        <w:jc w:val="left"/>
      </w:pPr>
      <w:r>
        <w:rPr>
          <w:rFonts w:ascii="Times New Roman" w:hAnsi="Times New Roman"/>
          <w:sz w:val="22"/>
        </w:rPr>
        <w:tab/>
      </w:r>
      <w:r>
        <w:rPr>
          <w:rFonts w:ascii="Times New Roman" w:hAnsi="Times New Roman"/>
          <w:sz w:val="22"/>
        </w:rPr>
        <w:t>Ex</w:t>
      </w:r>
      <w:r>
        <w:rPr>
          <w:rFonts w:ascii="Times New Roman" w:hAnsi="Times New Roman"/>
          <w:sz w:val="22"/>
          <w:vertAlign w:val="subscript"/>
        </w:rPr>
        <w:t>mismatch</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furnizat</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cerere</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furnizat</w:t>
      </w:r>
      <w:r>
        <w:rPr>
          <w:rFonts w:ascii="Times New Roman" w:hAnsi="Times New Roman"/>
          <w:sz w:val="22"/>
        </w:rPr>
        <w:t xml:space="preserve"> · (1 – QMF)</w:t>
      </w:r>
      <w:r>
        <w:rPr>
          <w:rFonts w:ascii="Times New Roman" w:hAnsi="Times New Roman"/>
          <w:sz w:val="22"/>
        </w:rPr>
        <w:tab/>
        <w:t>(6)</w:t>
      </w:r>
    </w:p>
    <w:p>
      <w:pPr>
        <w:ind w:firstLine="0"/>
      </w:pPr>
      <w:r>
        <w:rPr>
          <w:rFonts w:ascii="Times New Roman" w:hAnsi="Times New Roman"/>
          <w:sz w:val="22"/>
        </w:rPr>
        <w:t xml:space="preserve">Iar fracția de exergie distrusă prin mismatch: </w:t>
      </w:r>
      <w:r>
        <w:rPr>
          <w:rFonts w:ascii="Times New Roman" w:hAnsi="Times New Roman"/>
          <w:sz w:val="22"/>
        </w:rPr>
        <w:t>φ</w:t>
      </w:r>
      <w:r>
        <w:rPr>
          <w:rFonts w:ascii="Times New Roman" w:hAnsi="Times New Roman"/>
          <w:sz w:val="22"/>
          <w:vertAlign w:val="subscript"/>
        </w:rPr>
        <w:t>mismatch</w:t>
      </w:r>
      <w:r>
        <w:rPr>
          <w:rFonts w:ascii="Times New Roman" w:hAnsi="Times New Roman"/>
          <w:sz w:val="22"/>
        </w:rPr>
        <w:t xml:space="preserve"> = 1 – QMF = </w:t>
      </w:r>
      <w:r>
        <w:rPr>
          <w:rFonts w:ascii="Times New Roman" w:hAnsi="Times New Roman"/>
          <w:sz w:val="22"/>
        </w:rPr>
        <w:t>(Ex</w:t>
      </w:r>
      <w:r>
        <w:rPr>
          <w:rFonts w:ascii="Times New Roman" w:hAnsi="Times New Roman"/>
          <w:sz w:val="22"/>
          <w:vertAlign w:val="subscript"/>
        </w:rPr>
        <w:t>furnizat</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cerere</w:t>
      </w:r>
      <w:r>
        <w:rPr>
          <w:rFonts w:ascii="Times New Roman" w:hAnsi="Times New Roman"/>
          <w:sz w:val="22"/>
        </w:rPr>
        <w:t xml:space="preserve">) / </w:t>
      </w:r>
      <w:r>
        <w:rPr>
          <w:rFonts w:ascii="Times New Roman" w:hAnsi="Times New Roman"/>
          <w:sz w:val="22"/>
        </w:rPr>
        <w:t>Ex</w:t>
      </w:r>
      <w:r>
        <w:rPr>
          <w:rFonts w:ascii="Times New Roman" w:hAnsi="Times New Roman"/>
          <w:sz w:val="22"/>
          <w:vertAlign w:val="subscript"/>
        </w:rPr>
        <w:t>furnizat</w:t>
      </w:r>
    </w:p>
    <w:p>
      <w:pPr/>
      <w:r>
        <w:t>Interpretare fizică a lui φ_mismatch: reprezintă fracția din exergia furnizată care este distrusă ireversibil exclusiv din cauza nepotrivirii calitative dintre sursă și cerere — independent de alte ireversibilități ale sistemului (transfer termic cu rezistență finită, frecări hidraulice, etc.). Este o pierdere evitabilă structural, nu accidentală.</w:t>
      </w:r>
    </w:p>
    <w:p>
      <w:pPr>
        <w:ind w:firstLine="0"/>
      </w:pPr>
    </w:p>
    <w:p>
      <w:pPr>
        <w:pStyle w:val="SubHeading"/>
        <w:keepNext/>
      </w:pPr>
      <w:r>
        <w:t>3.3 Qmf generalizat pentru sisteme multi-cerere și multi-sursă</w:t>
      </w:r>
    </w:p>
    <w:p>
      <w:pPr>
        <w:ind w:firstLine="0"/>
      </w:pPr>
    </w:p>
    <w:p>
      <w:pPr/>
      <w:r>
        <w:t>Sistemele energetice reale ale localităților deservesc simultan multiple aplicații (j = 1, ..., n) cu cerințe diferite, alimentate de surse multiple (k = 1, ..., m). Factorul QM Generalizat (QMF_G) al sistemului se definește ca media ponderată cu fluxurile exergetice:</w:t>
      </w:r>
    </w:p>
    <w:p>
      <w:pPr>
        <w:ind w:firstLine="0"/>
        <w:tabs>
          <w:tab w:val="center" w:pos="3855"/>
          <w:tab w:val="right" w:pos="7710"/>
        </w:tabs>
        <w:jc w:val="left"/>
      </w:pPr>
      <w:r>
        <w:rPr>
          <w:rFonts w:ascii="Times New Roman" w:hAnsi="Times New Roman"/>
          <w:sz w:val="22"/>
        </w:rPr>
        <w:tab/>
      </w:r>
      <w:r>
        <w:rPr>
          <w:rFonts w:ascii="Times New Roman" w:hAnsi="Times New Roman"/>
          <w:sz w:val="22"/>
        </w:rPr>
        <w:t>QMF</w:t>
      </w:r>
      <w:r>
        <w:rPr>
          <w:rFonts w:ascii="Times New Roman" w:hAnsi="Times New Roman"/>
          <w:sz w:val="22"/>
          <w:vertAlign w:val="subscript"/>
        </w:rPr>
        <w:t>G</w:t>
      </w:r>
      <w:r>
        <w:rPr>
          <w:rFonts w:ascii="Times New Roman" w:hAnsi="Times New Roman"/>
          <w:sz w:val="22"/>
        </w:rPr>
        <w:t xml:space="preserve"> = </w:t>
      </w:r>
      <w:r>
        <w:rPr>
          <w:rFonts w:ascii="Times New Roman" w:hAnsi="Times New Roman"/>
          <w:sz w:val="22"/>
        </w:rPr>
        <w:t>Σⱼ(Ex</w:t>
      </w:r>
      <w:r>
        <w:rPr>
          <w:rFonts w:ascii="Times New Roman" w:hAnsi="Times New Roman"/>
          <w:sz w:val="22"/>
          <w:vertAlign w:val="subscript"/>
        </w:rPr>
        <w:t>cerere</w:t>
      </w:r>
      <w:r>
        <w:rPr>
          <w:rFonts w:ascii="Times New Roman" w:hAnsi="Times New Roman"/>
          <w:sz w:val="22"/>
        </w:rPr>
        <w:t xml:space="preserve">,j) / </w:t>
      </w:r>
      <w:r>
        <w:rPr>
          <w:rFonts w:ascii="Times New Roman" w:hAnsi="Times New Roman"/>
          <w:sz w:val="22"/>
        </w:rPr>
        <w:t>Σₖ(Ex</w:t>
      </w:r>
      <w:r>
        <w:rPr>
          <w:rFonts w:ascii="Times New Roman" w:hAnsi="Times New Roman"/>
          <w:sz w:val="22"/>
          <w:vertAlign w:val="subscript"/>
        </w:rPr>
        <w:t>furnizat</w:t>
      </w:r>
      <w:r>
        <w:rPr>
          <w:rFonts w:ascii="Times New Roman" w:hAnsi="Times New Roman"/>
          <w:sz w:val="22"/>
        </w:rPr>
        <w:t xml:space="preserve">,k)  =  </w:t>
      </w:r>
      <w:r>
        <w:rPr>
          <w:rFonts w:ascii="Times New Roman" w:hAnsi="Times New Roman"/>
          <w:sz w:val="22"/>
        </w:rPr>
        <w:t>η</w:t>
      </w:r>
      <w:r>
        <w:rPr>
          <w:rFonts w:ascii="Times New Roman" w:hAnsi="Times New Roman"/>
          <w:sz w:val="22"/>
          <w:vertAlign w:val="subscript"/>
        </w:rPr>
        <w:t>ex</w:t>
      </w:r>
      <w:r>
        <w:rPr>
          <w:rFonts w:ascii="Times New Roman" w:hAnsi="Times New Roman"/>
          <w:sz w:val="22"/>
        </w:rPr>
        <w:t>,sistem</w:t>
      </w:r>
      <w:r>
        <w:rPr>
          <w:rFonts w:ascii="Times New Roman" w:hAnsi="Times New Roman"/>
          <w:sz w:val="22"/>
        </w:rPr>
        <w:tab/>
        <w:t>(7)</w:t>
      </w:r>
    </w:p>
    <w:p>
      <w:pPr>
        <w:ind w:firstLine="0"/>
      </w:pPr>
      <w:r>
        <w:rPr>
          <w:rFonts w:ascii="Times New Roman" w:hAnsi="Times New Roman"/>
          <w:sz w:val="22"/>
        </w:rPr>
        <w:t xml:space="preserve">Observație: </w:t>
      </w:r>
      <w:r>
        <w:rPr>
          <w:rFonts w:ascii="Times New Roman" w:hAnsi="Times New Roman"/>
          <w:sz w:val="22"/>
        </w:rPr>
        <w:t>QMF</w:t>
      </w:r>
      <w:r>
        <w:rPr>
          <w:rFonts w:ascii="Times New Roman" w:hAnsi="Times New Roman"/>
          <w:sz w:val="22"/>
          <w:vertAlign w:val="subscript"/>
        </w:rPr>
        <w:t>G</w:t>
      </w:r>
      <w:r>
        <w:rPr>
          <w:rFonts w:ascii="Times New Roman" w:hAnsi="Times New Roman"/>
          <w:sz w:val="22"/>
        </w:rPr>
        <w:t xml:space="preserve"> este identic cu eficiența exergetică globală </w:t>
      </w:r>
      <w:r>
        <w:rPr>
          <w:rFonts w:ascii="Times New Roman" w:hAnsi="Times New Roman"/>
          <w:sz w:val="22"/>
        </w:rPr>
        <w:t>η</w:t>
      </w:r>
      <w:r>
        <w:rPr>
          <w:rFonts w:ascii="Times New Roman" w:hAnsi="Times New Roman"/>
          <w:sz w:val="22"/>
          <w:vertAlign w:val="subscript"/>
        </w:rPr>
        <w:t>ex</w:t>
      </w:r>
      <w:r>
        <w:rPr>
          <w:rFonts w:ascii="Times New Roman" w:hAnsi="Times New Roman"/>
          <w:sz w:val="22"/>
        </w:rPr>
        <w:t xml:space="preserve"> a sistemului, confirmând că maximizarea </w:t>
      </w:r>
      <w:r>
        <w:rPr>
          <w:rFonts w:ascii="Times New Roman" w:hAnsi="Times New Roman"/>
          <w:sz w:val="22"/>
        </w:rPr>
        <w:t>η</w:t>
      </w:r>
      <w:r>
        <w:rPr>
          <w:rFonts w:ascii="Times New Roman" w:hAnsi="Times New Roman"/>
          <w:sz w:val="22"/>
          <w:vertAlign w:val="subscript"/>
        </w:rPr>
        <w:t>ex</w:t>
      </w:r>
      <w:r>
        <w:rPr>
          <w:rFonts w:ascii="Times New Roman" w:hAnsi="Times New Roman"/>
          <w:sz w:val="22"/>
        </w:rPr>
        <w:t xml:space="preserve"> echivalează cu maximizarea Quality Matching la nivel de sistem</w:t>
      </w:r>
    </w:p>
    <w:p>
      <w:pPr/>
      <w:r>
        <w:t>Această identitate este fundamentală: demonstrează că Quality Matching nu este un principiu adițional față de eficiența exergetică, ci este chiar mecanismul fizic prin care eficiența exergetică este realizată sau subminată. Un sistem cu η_ex scăzut este un sistem cu Quality Matching deficient.</w:t>
      </w:r>
    </w:p>
    <w:p>
      <w:pPr>
        <w:ind w:firstLine="0"/>
      </w:pPr>
    </w:p>
    <w:p>
      <w:pPr>
        <w:pStyle w:val="SubHeading"/>
        <w:keepNext/>
      </w:pPr>
      <w:r>
        <w:t>3.4 Indicele de mismatch exergetic (ime) — indicator de sistem</w:t>
      </w:r>
    </w:p>
    <w:p>
      <w:pPr>
        <w:ind w:firstLine="0"/>
      </w:pPr>
    </w:p>
    <w:p>
      <w:pPr/>
      <w:r>
        <w:t>Pentru evaluarea sistemică a calității matching-ului la nivel de rețea DH, se propune Indicele de Mismatch Exergetic (IME), definit ca:</w:t>
      </w: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IME = Σₚ </w:t>
      </w:r>
      <w:r>
        <w:rPr>
          <w:rFonts w:ascii="Times New Roman" w:hAnsi="Times New Roman"/>
          <w:sz w:val="22"/>
        </w:rPr>
        <w:t>[Ex</w:t>
      </w:r>
      <w:r>
        <w:rPr>
          <w:rFonts w:ascii="Times New Roman" w:hAnsi="Times New Roman"/>
          <w:sz w:val="22"/>
          <w:vertAlign w:val="subscript"/>
        </w:rPr>
        <w:t>mismatch</w:t>
      </w:r>
      <w:r>
        <w:rPr>
          <w:rFonts w:ascii="Times New Roman" w:hAnsi="Times New Roman"/>
          <w:sz w:val="22"/>
        </w:rPr>
        <w:t xml:space="preserve">,p · </w:t>
      </w:r>
      <w:r>
        <w:rPr>
          <w:rFonts w:ascii="Times New Roman" w:hAnsi="Times New Roman"/>
          <w:sz w:val="22"/>
        </w:rPr>
        <w:t>ṁ</w:t>
      </w:r>
      <w:r>
        <w:rPr>
          <w:rFonts w:ascii="Times New Roman" w:hAnsi="Times New Roman"/>
          <w:sz w:val="22"/>
          <w:vertAlign w:val="subscript"/>
        </w:rPr>
        <w:t>p</w:t>
      </w:r>
      <w:r>
        <w:rPr>
          <w:rFonts w:ascii="Times New Roman" w:hAnsi="Times New Roman"/>
          <w:sz w:val="22"/>
        </w:rPr>
        <w:t xml:space="preserve">] / Σₖ </w:t>
      </w:r>
      <w:r>
        <w:rPr>
          <w:rFonts w:ascii="Times New Roman" w:hAnsi="Times New Roman"/>
          <w:sz w:val="22"/>
        </w:rPr>
        <w:t>[Ex</w:t>
      </w:r>
      <w:r>
        <w:rPr>
          <w:rFonts w:ascii="Times New Roman" w:hAnsi="Times New Roman"/>
          <w:sz w:val="22"/>
          <w:vertAlign w:val="subscript"/>
        </w:rPr>
        <w:t>furnizat</w:t>
      </w:r>
      <w:r>
        <w:rPr>
          <w:rFonts w:ascii="Times New Roman" w:hAnsi="Times New Roman"/>
          <w:sz w:val="22"/>
        </w:rPr>
        <w:t xml:space="preserve">,k · </w:t>
      </w:r>
      <w:r>
        <w:rPr>
          <w:rFonts w:ascii="Times New Roman" w:hAnsi="Times New Roman"/>
          <w:sz w:val="22"/>
        </w:rPr>
        <w:t>ṁ</w:t>
      </w:r>
      <w:r>
        <w:rPr>
          <w:rFonts w:ascii="Times New Roman" w:hAnsi="Times New Roman"/>
          <w:sz w:val="22"/>
          <w:vertAlign w:val="subscript"/>
        </w:rPr>
        <w:t>k</w:t>
      </w:r>
      <w:r>
        <w:rPr>
          <w:rFonts w:ascii="Times New Roman" w:hAnsi="Times New Roman"/>
          <w:sz w:val="22"/>
        </w:rPr>
        <w:t xml:space="preserve">]  =  1 – </w:t>
      </w:r>
      <w:r>
        <w:rPr>
          <w:rFonts w:ascii="Times New Roman" w:hAnsi="Times New Roman"/>
          <w:sz w:val="22"/>
        </w:rPr>
        <w:t>QMF</w:t>
      </w:r>
      <w:r>
        <w:rPr>
          <w:rFonts w:ascii="Times New Roman" w:hAnsi="Times New Roman"/>
          <w:sz w:val="22"/>
          <w:vertAlign w:val="subscript"/>
        </w:rPr>
        <w:t>G</w:t>
      </w:r>
      <w:r>
        <w:rPr>
          <w:rFonts w:ascii="Times New Roman" w:hAnsi="Times New Roman"/>
          <w:sz w:val="22"/>
        </w:rPr>
        <w:t xml:space="preserve">  [adimensional, ∈ [0,1)]</w:t>
      </w:r>
      <w:r>
        <w:rPr>
          <w:rFonts w:ascii="Times New Roman" w:hAnsi="Times New Roman"/>
          <w:sz w:val="22"/>
        </w:rPr>
        <w:tab/>
        <w:t>(8)</w:t>
      </w:r>
    </w:p>
    <w:p>
      <w:pPr>
        <w:ind w:firstLine="0"/>
      </w:pPr>
      <w:r>
        <w:rPr>
          <w:rFonts w:ascii="Times New Roman" w:hAnsi="Times New Roman"/>
          <w:sz w:val="22"/>
        </w:rPr>
        <w:t>Interpretare: IME = 0 → matching perfect; IME → 1 → mismatch total. Un sistem 3G tipic: IME ≈ 0.80–0.90. Un sistem 6G DES: IME ≈ 0.10–0.20.</w:t>
      </w:r>
    </w:p>
    <w:p>
      <w:pPr>
        <w:ind w:firstLine="0"/>
      </w:pPr>
    </w:p>
    <w:p>
      <w:pPr>
        <w:pStyle w:val="ChapterHeading"/>
        <w:keepNext/>
      </w:pPr>
      <w:r>
        <w:t>4. Analiza Qmf pentru Aplicații Specifice în Sistemele Dh</w:t>
      </w:r>
    </w:p>
    <w:p>
      <w:pPr>
        <w:ind w:firstLine="0"/>
      </w:pPr>
    </w:p>
    <w:p>
      <w:pPr>
        <w:pStyle w:val="SubHeading"/>
        <w:keepNext/>
      </w:pPr>
      <w:r>
        <w:t>4.1 Calculul qmf pentru aplicații termice tipice</w:t>
      </w:r>
    </w:p>
    <w:p>
      <w:pPr>
        <w:ind w:firstLine="0"/>
      </w:pPr>
    </w:p>
    <w:p>
      <w:pPr/>
      <w:r>
        <w:t>Tabelul 2 prezintă calculul numeric al Factorului QMF pentru principalele aplicații termice din sistemele DH, comparând cerința de exergie a aplicației cu exergia efectiv furnizată de un sistem 3G tipic (T_furnizare = 85–90°C):</w:t>
      </w:r>
    </w:p>
    <w:p>
      <w:pPr>
        <w:ind w:firstLine="0"/>
      </w:pPr>
    </w:p>
    <w:p>
      <w:pPr>
        <w:pStyle w:val="TableCaption"/>
      </w:pPr>
      <w:r>
        <w:t>Tabel 2. Calculul QMF pentru aplicații termice tipice, față de sursa 3G (T_furnizare = 85–90°C, T₀ = 283 K). QMF calculat ca (1–T₀/T_cerere)/(1–T₀/T_sursa). Culori: roșu = vandalism termodinamic (QMF &lt; 0.20); galben = mismatch parțial (0.20–0.60); verde = matching adecvat (&gt; 0.60). Sursă: calcul propriu.</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Aplicație energetică</w:t>
            </w:r>
          </w:p>
        </w:tc>
        <w:tc>
          <w:tcPr>
            <w:tcW w:type="dxa" w:w="1101"/>
          </w:tcPr>
          <w:p>
            <w:pPr>
              <w:spacing w:before="0" w:after="0"/>
              <w:ind w:firstLine="0"/>
              <w:jc w:val="left"/>
            </w:pPr>
            <w:r>
              <w:rPr>
                <w:rFonts w:ascii="Times New Roman" w:hAnsi="Times New Roman"/>
                <w:b/>
                <w:sz w:val="22"/>
              </w:rPr>
              <w:t>T necesară (°C)</w:t>
            </w:r>
          </w:p>
        </w:tc>
        <w:tc>
          <w:tcPr>
            <w:tcW w:type="dxa" w:w="1101"/>
          </w:tcPr>
          <w:p>
            <w:pPr>
              <w:spacing w:before="0" w:after="0"/>
              <w:ind w:firstLine="0"/>
              <w:jc w:val="left"/>
            </w:pPr>
            <w:r>
              <w:rPr>
                <w:rFonts w:ascii="Times New Roman" w:hAnsi="Times New Roman"/>
                <w:b/>
                <w:sz w:val="22"/>
              </w:rPr>
              <w:t>Ex_cerere (%)</w:t>
            </w:r>
          </w:p>
        </w:tc>
        <w:tc>
          <w:tcPr>
            <w:tcW w:type="dxa" w:w="1101"/>
          </w:tcPr>
          <w:p>
            <w:pPr>
              <w:spacing w:before="0" w:after="0"/>
              <w:ind w:firstLine="0"/>
              <w:jc w:val="left"/>
            </w:pPr>
            <w:r>
              <w:rPr>
                <w:rFonts w:ascii="Times New Roman" w:hAnsi="Times New Roman"/>
                <w:b/>
                <w:sz w:val="22"/>
              </w:rPr>
              <w:t>T sursei tipice 3G (°C)</w:t>
            </w:r>
          </w:p>
        </w:tc>
        <w:tc>
          <w:tcPr>
            <w:tcW w:type="dxa" w:w="1101"/>
          </w:tcPr>
          <w:p>
            <w:pPr>
              <w:spacing w:before="0" w:after="0"/>
              <w:ind w:firstLine="0"/>
              <w:jc w:val="left"/>
            </w:pPr>
            <w:r>
              <w:rPr>
                <w:rFonts w:ascii="Times New Roman" w:hAnsi="Times New Roman"/>
                <w:b/>
                <w:sz w:val="22"/>
              </w:rPr>
              <w:t>Ex_furnizat (%)</w:t>
            </w:r>
          </w:p>
        </w:tc>
        <w:tc>
          <w:tcPr>
            <w:tcW w:type="dxa" w:w="1101"/>
          </w:tcPr>
          <w:p>
            <w:pPr>
              <w:spacing w:before="0" w:after="0"/>
              <w:ind w:firstLine="0"/>
              <w:jc w:val="left"/>
            </w:pPr>
            <w:r>
              <w:rPr>
                <w:rFonts w:ascii="Times New Roman" w:hAnsi="Times New Roman"/>
                <w:b/>
                <w:sz w:val="22"/>
              </w:rPr>
              <w:t>QMF (–)</w:t>
            </w:r>
          </w:p>
        </w:tc>
        <w:tc>
          <w:tcPr>
            <w:tcW w:type="dxa" w:w="1101"/>
          </w:tcPr>
          <w:p>
            <w:pPr>
              <w:spacing w:before="0" w:after="0"/>
              <w:ind w:firstLine="0"/>
              <w:jc w:val="left"/>
            </w:pPr>
            <w:r>
              <w:rPr>
                <w:rFonts w:ascii="Times New Roman" w:hAnsi="Times New Roman"/>
                <w:b/>
                <w:sz w:val="22"/>
              </w:rPr>
              <w:t>Evaluare</w:t>
            </w:r>
          </w:p>
        </w:tc>
      </w:tr>
      <w:tr>
        <w:tc>
          <w:tcPr>
            <w:tcW w:type="dxa" w:w="1101"/>
          </w:tcPr>
          <w:p>
            <w:pPr>
              <w:spacing w:before="0" w:after="0"/>
              <w:ind w:firstLine="0"/>
              <w:jc w:val="left"/>
            </w:pPr>
            <w:r>
              <w:rPr>
                <w:rFonts w:ascii="Times New Roman" w:hAnsi="Times New Roman"/>
                <w:sz w:val="22"/>
              </w:rPr>
              <w:t>Răcire / aer condiționat</w:t>
            </w:r>
          </w:p>
        </w:tc>
        <w:tc>
          <w:tcPr>
            <w:tcW w:type="dxa" w:w="1101"/>
          </w:tcPr>
          <w:p>
            <w:pPr>
              <w:spacing w:before="0" w:after="0"/>
              <w:ind w:firstLine="0"/>
              <w:jc w:val="left"/>
            </w:pPr>
            <w:r>
              <w:rPr>
                <w:rFonts w:ascii="Times New Roman" w:hAnsi="Times New Roman"/>
                <w:sz w:val="22"/>
              </w:rPr>
              <w:t>5–10</w:t>
            </w:r>
          </w:p>
        </w:tc>
        <w:tc>
          <w:tcPr>
            <w:tcW w:type="dxa" w:w="1101"/>
          </w:tcPr>
          <w:p>
            <w:pPr>
              <w:spacing w:before="0" w:after="0"/>
              <w:ind w:firstLine="0"/>
              <w:jc w:val="left"/>
            </w:pPr>
            <w:r>
              <w:rPr>
                <w:rFonts w:ascii="Times New Roman" w:hAnsi="Times New Roman"/>
                <w:sz w:val="22"/>
              </w:rPr>
              <w:t>0–1%</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0.03–0.05</w:t>
            </w:r>
          </w:p>
        </w:tc>
        <w:tc>
          <w:tcPr>
            <w:tcW w:type="dxa" w:w="1101"/>
          </w:tcPr>
          <w:p>
            <w:pPr>
              <w:spacing w:before="0" w:after="0"/>
              <w:ind w:firstLine="0"/>
              <w:jc w:val="left"/>
            </w:pPr>
            <w:r>
              <w:rPr>
                <w:rFonts w:ascii="Times New Roman" w:hAnsi="Times New Roman"/>
                <w:sz w:val="22"/>
              </w:rPr>
              <w:t>QM critic — sursă inadecvată total</w:t>
            </w:r>
          </w:p>
        </w:tc>
      </w:tr>
      <w:tr>
        <w:tc>
          <w:tcPr>
            <w:tcW w:type="dxa" w:w="1101"/>
          </w:tcPr>
          <w:p>
            <w:pPr>
              <w:spacing w:before="0" w:after="0"/>
              <w:ind w:firstLine="0"/>
              <w:jc w:val="left"/>
            </w:pPr>
            <w:r>
              <w:rPr>
                <w:rFonts w:ascii="Times New Roman" w:hAnsi="Times New Roman"/>
                <w:sz w:val="22"/>
              </w:rPr>
              <w:t>Sere / horticultura joasă-T</w:t>
            </w:r>
          </w:p>
        </w:tc>
        <w:tc>
          <w:tcPr>
            <w:tcW w:type="dxa" w:w="1101"/>
          </w:tcPr>
          <w:p>
            <w:pPr>
              <w:spacing w:before="0" w:after="0"/>
              <w:ind w:firstLine="0"/>
              <w:jc w:val="left"/>
            </w:pPr>
            <w:r>
              <w:rPr>
                <w:rFonts w:ascii="Times New Roman" w:hAnsi="Times New Roman"/>
                <w:sz w:val="22"/>
              </w:rPr>
              <w:t>20–30</w:t>
            </w:r>
          </w:p>
        </w:tc>
        <w:tc>
          <w:tcPr>
            <w:tcW w:type="dxa" w:w="1101"/>
          </w:tcPr>
          <w:p>
            <w:pPr>
              <w:spacing w:before="0" w:after="0"/>
              <w:ind w:firstLine="0"/>
              <w:jc w:val="left"/>
            </w:pPr>
            <w:r>
              <w:rPr>
                <w:rFonts w:ascii="Times New Roman" w:hAnsi="Times New Roman"/>
                <w:sz w:val="22"/>
              </w:rPr>
              <w:t>1–2%</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0.05–0.10</w:t>
            </w:r>
          </w:p>
        </w:tc>
        <w:tc>
          <w:tcPr>
            <w:tcW w:type="dxa" w:w="1101"/>
          </w:tcPr>
          <w:p>
            <w:pPr>
              <w:spacing w:before="0" w:after="0"/>
              <w:ind w:firstLine="0"/>
              <w:jc w:val="left"/>
            </w:pPr>
            <w:r>
              <w:rPr>
                <w:rFonts w:ascii="Times New Roman" w:hAnsi="Times New Roman"/>
                <w:sz w:val="22"/>
              </w:rPr>
              <w:t>QM critic — degradare 95% exergie</w:t>
            </w:r>
          </w:p>
        </w:tc>
      </w:tr>
      <w:tr>
        <w:tc>
          <w:tcPr>
            <w:tcW w:type="dxa" w:w="1101"/>
          </w:tcPr>
          <w:p>
            <w:pPr>
              <w:spacing w:before="0" w:after="0"/>
              <w:ind w:firstLine="0"/>
              <w:jc w:val="left"/>
            </w:pPr>
            <w:r>
              <w:rPr>
                <w:rFonts w:ascii="Times New Roman" w:hAnsi="Times New Roman"/>
                <w:sz w:val="22"/>
              </w:rPr>
              <w:t>Încălzire planșeu radiant (bine izolat)</w:t>
            </w:r>
          </w:p>
        </w:tc>
        <w:tc>
          <w:tcPr>
            <w:tcW w:type="dxa" w:w="1101"/>
          </w:tcPr>
          <w:p>
            <w:pPr>
              <w:spacing w:before="0" w:after="0"/>
              <w:ind w:firstLine="0"/>
              <w:jc w:val="left"/>
            </w:pPr>
            <w:r>
              <w:rPr>
                <w:rFonts w:ascii="Times New Roman" w:hAnsi="Times New Roman"/>
                <w:sz w:val="22"/>
              </w:rPr>
              <w:t>28–35</w:t>
            </w:r>
          </w:p>
        </w:tc>
        <w:tc>
          <w:tcPr>
            <w:tcW w:type="dxa" w:w="1101"/>
          </w:tcPr>
          <w:p>
            <w:pPr>
              <w:spacing w:before="0" w:after="0"/>
              <w:ind w:firstLine="0"/>
              <w:jc w:val="left"/>
            </w:pPr>
            <w:r>
              <w:rPr>
                <w:rFonts w:ascii="Times New Roman" w:hAnsi="Times New Roman"/>
                <w:sz w:val="22"/>
              </w:rPr>
              <w:t>2–4%</w:t>
            </w:r>
          </w:p>
        </w:tc>
        <w:tc>
          <w:tcPr>
            <w:tcW w:type="dxa" w:w="1101"/>
          </w:tcPr>
          <w:p>
            <w:pPr>
              <w:spacing w:before="0" w:after="0"/>
              <w:ind w:firstLine="0"/>
              <w:jc w:val="left"/>
            </w:pPr>
            <w:r>
              <w:rPr>
                <w:rFonts w:ascii="Times New Roman" w:hAnsi="Times New Roman"/>
                <w:sz w:val="22"/>
              </w:rPr>
              <w:t>85</w:t>
            </w:r>
          </w:p>
        </w:tc>
        <w:tc>
          <w:tcPr>
            <w:tcW w:type="dxa" w:w="1101"/>
          </w:tcPr>
          <w:p>
            <w:pPr>
              <w:spacing w:before="0" w:after="0"/>
              <w:ind w:firstLine="0"/>
              <w:jc w:val="left"/>
            </w:pPr>
            <w:r>
              <w:rPr>
                <w:rFonts w:ascii="Times New Roman" w:hAnsi="Times New Roman"/>
                <w:sz w:val="22"/>
              </w:rPr>
              <w:t>18%</w:t>
            </w:r>
          </w:p>
        </w:tc>
        <w:tc>
          <w:tcPr>
            <w:tcW w:type="dxa" w:w="1101"/>
          </w:tcPr>
          <w:p>
            <w:pPr>
              <w:spacing w:before="0" w:after="0"/>
              <w:ind w:firstLine="0"/>
              <w:jc w:val="left"/>
            </w:pPr>
            <w:r>
              <w:rPr>
                <w:rFonts w:ascii="Times New Roman" w:hAnsi="Times New Roman"/>
                <w:sz w:val="22"/>
              </w:rPr>
              <w:t>0.11–0.22</w:t>
            </w:r>
          </w:p>
        </w:tc>
        <w:tc>
          <w:tcPr>
            <w:tcW w:type="dxa" w:w="1101"/>
          </w:tcPr>
          <w:p>
            <w:pPr>
              <w:spacing w:before="0" w:after="0"/>
              <w:ind w:firstLine="0"/>
              <w:jc w:val="left"/>
            </w:pPr>
            <w:r>
              <w:rPr>
                <w:rFonts w:ascii="Times New Roman" w:hAnsi="Times New Roman"/>
                <w:sz w:val="22"/>
              </w:rPr>
              <w:t>QM slab — mismatch 4–9x</w:t>
            </w:r>
          </w:p>
        </w:tc>
      </w:tr>
      <w:tr>
        <w:tc>
          <w:tcPr>
            <w:tcW w:type="dxa" w:w="1101"/>
          </w:tcPr>
          <w:p>
            <w:pPr>
              <w:spacing w:before="0" w:after="0"/>
              <w:ind w:firstLine="0"/>
              <w:jc w:val="left"/>
            </w:pPr>
            <w:r>
              <w:rPr>
                <w:rFonts w:ascii="Times New Roman" w:hAnsi="Times New Roman"/>
                <w:sz w:val="22"/>
              </w:rPr>
              <w:t>Preparare ACM (50°C)</w:t>
            </w:r>
          </w:p>
        </w:tc>
        <w:tc>
          <w:tcPr>
            <w:tcW w:type="dxa" w:w="1101"/>
          </w:tcPr>
          <w:p>
            <w:pPr>
              <w:spacing w:before="0" w:after="0"/>
              <w:ind w:firstLine="0"/>
              <w:jc w:val="left"/>
            </w:pPr>
            <w:r>
              <w:rPr>
                <w:rFonts w:ascii="Times New Roman" w:hAnsi="Times New Roman"/>
                <w:sz w:val="22"/>
              </w:rPr>
              <w:t>50</w:t>
            </w:r>
          </w:p>
        </w:tc>
        <w:tc>
          <w:tcPr>
            <w:tcW w:type="dxa" w:w="1101"/>
          </w:tcPr>
          <w:p>
            <w:pPr>
              <w:spacing w:before="0" w:after="0"/>
              <w:ind w:firstLine="0"/>
              <w:jc w:val="left"/>
            </w:pPr>
            <w:r>
              <w:rPr>
                <w:rFonts w:ascii="Times New Roman" w:hAnsi="Times New Roman"/>
                <w:sz w:val="22"/>
              </w:rPr>
              <w:t>8%</w:t>
            </w:r>
          </w:p>
        </w:tc>
        <w:tc>
          <w:tcPr>
            <w:tcW w:type="dxa" w:w="1101"/>
          </w:tcPr>
          <w:p>
            <w:pPr>
              <w:spacing w:before="0" w:after="0"/>
              <w:ind w:firstLine="0"/>
              <w:jc w:val="left"/>
            </w:pPr>
            <w:r>
              <w:rPr>
                <w:rFonts w:ascii="Times New Roman" w:hAnsi="Times New Roman"/>
                <w:sz w:val="22"/>
              </w:rPr>
              <w:t>85</w:t>
            </w:r>
          </w:p>
        </w:tc>
        <w:tc>
          <w:tcPr>
            <w:tcW w:type="dxa" w:w="1101"/>
          </w:tcPr>
          <w:p>
            <w:pPr>
              <w:spacing w:before="0" w:after="0"/>
              <w:ind w:firstLine="0"/>
              <w:jc w:val="left"/>
            </w:pPr>
            <w:r>
              <w:rPr>
                <w:rFonts w:ascii="Times New Roman" w:hAnsi="Times New Roman"/>
                <w:sz w:val="22"/>
              </w:rPr>
              <w:t>18%</w:t>
            </w:r>
          </w:p>
        </w:tc>
        <w:tc>
          <w:tcPr>
            <w:tcW w:type="dxa" w:w="1101"/>
          </w:tcPr>
          <w:p>
            <w:pPr>
              <w:spacing w:before="0" w:after="0"/>
              <w:ind w:firstLine="0"/>
              <w:jc w:val="left"/>
            </w:pPr>
            <w:r>
              <w:rPr>
                <w:rFonts w:ascii="Times New Roman" w:hAnsi="Times New Roman"/>
                <w:sz w:val="22"/>
              </w:rPr>
              <w:t>0.44</w:t>
            </w:r>
          </w:p>
        </w:tc>
        <w:tc>
          <w:tcPr>
            <w:tcW w:type="dxa" w:w="1101"/>
          </w:tcPr>
          <w:p>
            <w:pPr>
              <w:spacing w:before="0" w:after="0"/>
              <w:ind w:firstLine="0"/>
              <w:jc w:val="left"/>
            </w:pPr>
            <w:r>
              <w:rPr>
                <w:rFonts w:ascii="Times New Roman" w:hAnsi="Times New Roman"/>
                <w:sz w:val="22"/>
              </w:rPr>
              <w:t>QM moderat — mismatch 2x</w:t>
            </w:r>
          </w:p>
        </w:tc>
      </w:tr>
      <w:tr>
        <w:tc>
          <w:tcPr>
            <w:tcW w:type="dxa" w:w="1101"/>
          </w:tcPr>
          <w:p>
            <w:pPr>
              <w:spacing w:before="0" w:after="0"/>
              <w:ind w:firstLine="0"/>
              <w:jc w:val="left"/>
            </w:pPr>
            <w:r>
              <w:rPr>
                <w:rFonts w:ascii="Times New Roman" w:hAnsi="Times New Roman"/>
                <w:sz w:val="22"/>
              </w:rPr>
              <w:t>Radiatoare convecție (60–70°C)</w:t>
            </w:r>
          </w:p>
        </w:tc>
        <w:tc>
          <w:tcPr>
            <w:tcW w:type="dxa" w:w="1101"/>
          </w:tcPr>
          <w:p>
            <w:pPr>
              <w:spacing w:before="0" w:after="0"/>
              <w:ind w:firstLine="0"/>
              <w:jc w:val="left"/>
            </w:pPr>
            <w:r>
              <w:rPr>
                <w:rFonts w:ascii="Times New Roman" w:hAnsi="Times New Roman"/>
                <w:sz w:val="22"/>
              </w:rPr>
              <w:t>60–70</w:t>
            </w:r>
          </w:p>
        </w:tc>
        <w:tc>
          <w:tcPr>
            <w:tcW w:type="dxa" w:w="1101"/>
          </w:tcPr>
          <w:p>
            <w:pPr>
              <w:spacing w:before="0" w:after="0"/>
              <w:ind w:firstLine="0"/>
              <w:jc w:val="left"/>
            </w:pPr>
            <w:r>
              <w:rPr>
                <w:rFonts w:ascii="Times New Roman" w:hAnsi="Times New Roman"/>
                <w:sz w:val="22"/>
              </w:rPr>
              <w:t>11–14%</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0.55–0.70</w:t>
            </w:r>
          </w:p>
        </w:tc>
        <w:tc>
          <w:tcPr>
            <w:tcW w:type="dxa" w:w="1101"/>
          </w:tcPr>
          <w:p>
            <w:pPr>
              <w:spacing w:before="0" w:after="0"/>
              <w:ind w:firstLine="0"/>
              <w:jc w:val="left"/>
            </w:pPr>
            <w:r>
              <w:rPr>
                <w:rFonts w:ascii="Times New Roman" w:hAnsi="Times New Roman"/>
                <w:sz w:val="22"/>
              </w:rPr>
              <w:t>QM acceptabil — 3G optimizat</w:t>
            </w:r>
          </w:p>
        </w:tc>
      </w:tr>
      <w:tr>
        <w:tc>
          <w:tcPr>
            <w:tcW w:type="dxa" w:w="1101"/>
          </w:tcPr>
          <w:p>
            <w:pPr>
              <w:spacing w:before="0" w:after="0"/>
              <w:ind w:firstLine="0"/>
              <w:jc w:val="left"/>
            </w:pPr>
            <w:r>
              <w:rPr>
                <w:rFonts w:ascii="Times New Roman" w:hAnsi="Times New Roman"/>
                <w:sz w:val="22"/>
              </w:rPr>
              <w:t>Procese industriale joasă-T (80°C)</w:t>
            </w:r>
          </w:p>
        </w:tc>
        <w:tc>
          <w:tcPr>
            <w:tcW w:type="dxa" w:w="1101"/>
          </w:tcPr>
          <w:p>
            <w:pPr>
              <w:spacing w:before="0" w:after="0"/>
              <w:ind w:firstLine="0"/>
              <w:jc w:val="left"/>
            </w:pPr>
            <w:r>
              <w:rPr>
                <w:rFonts w:ascii="Times New Roman" w:hAnsi="Times New Roman"/>
                <w:sz w:val="22"/>
              </w:rPr>
              <w:t>80</w:t>
            </w:r>
          </w:p>
        </w:tc>
        <w:tc>
          <w:tcPr>
            <w:tcW w:type="dxa" w:w="1101"/>
          </w:tcPr>
          <w:p>
            <w:pPr>
              <w:spacing w:before="0" w:after="0"/>
              <w:ind w:firstLine="0"/>
              <w:jc w:val="left"/>
            </w:pPr>
            <w:r>
              <w:rPr>
                <w:rFonts w:ascii="Times New Roman" w:hAnsi="Times New Roman"/>
                <w:sz w:val="22"/>
              </w:rPr>
              <w:t>17%</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0.85</w:t>
            </w:r>
          </w:p>
        </w:tc>
        <w:tc>
          <w:tcPr>
            <w:tcW w:type="dxa" w:w="1101"/>
          </w:tcPr>
          <w:p>
            <w:pPr>
              <w:spacing w:before="0" w:after="0"/>
              <w:ind w:firstLine="0"/>
              <w:jc w:val="left"/>
            </w:pPr>
            <w:r>
              <w:rPr>
                <w:rFonts w:ascii="Times New Roman" w:hAnsi="Times New Roman"/>
                <w:sz w:val="22"/>
              </w:rPr>
              <w:t>QM bun — aproape de 1G ideal</w:t>
            </w:r>
          </w:p>
        </w:tc>
      </w:tr>
      <w:tr>
        <w:tc>
          <w:tcPr>
            <w:tcW w:type="dxa" w:w="1101"/>
          </w:tcPr>
          <w:p>
            <w:pPr>
              <w:spacing w:before="0" w:after="0"/>
              <w:ind w:firstLine="0"/>
              <w:jc w:val="left"/>
            </w:pPr>
            <w:r>
              <w:rPr>
                <w:rFonts w:ascii="Times New Roman" w:hAnsi="Times New Roman"/>
                <w:sz w:val="22"/>
              </w:rPr>
              <w:t>Procese industriale medie-T (120°C)</w:t>
            </w:r>
          </w:p>
        </w:tc>
        <w:tc>
          <w:tcPr>
            <w:tcW w:type="dxa" w:w="1101"/>
          </w:tcPr>
          <w:p>
            <w:pPr>
              <w:spacing w:before="0" w:after="0"/>
              <w:ind w:firstLine="0"/>
              <w:jc w:val="left"/>
            </w:pPr>
            <w:r>
              <w:rPr>
                <w:rFonts w:ascii="Times New Roman" w:hAnsi="Times New Roman"/>
                <w:sz w:val="22"/>
              </w:rPr>
              <w:t>120</w:t>
            </w:r>
          </w:p>
        </w:tc>
        <w:tc>
          <w:tcPr>
            <w:tcW w:type="dxa" w:w="1101"/>
          </w:tcPr>
          <w:p>
            <w:pPr>
              <w:spacing w:before="0" w:after="0"/>
              <w:ind w:firstLine="0"/>
              <w:jc w:val="left"/>
            </w:pPr>
            <w:r>
              <w:rPr>
                <w:rFonts w:ascii="Times New Roman" w:hAnsi="Times New Roman"/>
                <w:sz w:val="22"/>
              </w:rPr>
              <w:t>30%</w:t>
            </w:r>
          </w:p>
        </w:tc>
        <w:tc>
          <w:tcPr>
            <w:tcW w:type="dxa" w:w="1101"/>
          </w:tcPr>
          <w:p>
            <w:pPr>
              <w:spacing w:before="0" w:after="0"/>
              <w:ind w:firstLine="0"/>
              <w:jc w:val="left"/>
            </w:pPr>
            <w:r>
              <w:rPr>
                <w:rFonts w:ascii="Times New Roman" w:hAnsi="Times New Roman"/>
                <w:sz w:val="22"/>
              </w:rPr>
              <w:t>150</w:t>
            </w:r>
          </w:p>
        </w:tc>
        <w:tc>
          <w:tcPr>
            <w:tcW w:type="dxa" w:w="1101"/>
          </w:tcPr>
          <w:p>
            <w:pPr>
              <w:spacing w:before="0" w:after="0"/>
              <w:ind w:firstLine="0"/>
              <w:jc w:val="left"/>
            </w:pPr>
            <w:r>
              <w:rPr>
                <w:rFonts w:ascii="Times New Roman" w:hAnsi="Times New Roman"/>
                <w:sz w:val="22"/>
              </w:rPr>
              <w:t>37%</w:t>
            </w:r>
          </w:p>
        </w:tc>
        <w:tc>
          <w:tcPr>
            <w:tcW w:type="dxa" w:w="1101"/>
          </w:tcPr>
          <w:p>
            <w:pPr>
              <w:spacing w:before="0" w:after="0"/>
              <w:ind w:firstLine="0"/>
              <w:jc w:val="left"/>
            </w:pPr>
            <w:r>
              <w:rPr>
                <w:rFonts w:ascii="Times New Roman" w:hAnsi="Times New Roman"/>
                <w:sz w:val="22"/>
              </w:rPr>
              <w:t>0.81</w:t>
            </w:r>
          </w:p>
        </w:tc>
        <w:tc>
          <w:tcPr>
            <w:tcW w:type="dxa" w:w="1101"/>
          </w:tcPr>
          <w:p>
            <w:pPr>
              <w:spacing w:before="0" w:after="0"/>
              <w:ind w:firstLine="0"/>
              <w:jc w:val="left"/>
            </w:pPr>
            <w:r>
              <w:rPr>
                <w:rFonts w:ascii="Times New Roman" w:hAnsi="Times New Roman"/>
                <w:sz w:val="22"/>
              </w:rPr>
              <w:t>QM bun — 2G/abur adecvat</w:t>
            </w:r>
          </w:p>
        </w:tc>
      </w:tr>
      <w:tr>
        <w:tc>
          <w:tcPr>
            <w:tcW w:type="dxa" w:w="1101"/>
          </w:tcPr>
          <w:p>
            <w:pPr>
              <w:spacing w:before="0" w:after="0"/>
              <w:ind w:firstLine="0"/>
              <w:jc w:val="left"/>
            </w:pPr>
            <w:r>
              <w:rPr>
                <w:rFonts w:ascii="Times New Roman" w:hAnsi="Times New Roman"/>
                <w:sz w:val="22"/>
              </w:rPr>
              <w:t>Electricitate din CHP (900°C flacără)</w:t>
            </w:r>
          </w:p>
        </w:tc>
        <w:tc>
          <w:tcPr>
            <w:tcW w:type="dxa" w:w="1101"/>
          </w:tcPr>
          <w:p>
            <w:pPr>
              <w:spacing w:before="0" w:after="0"/>
              <w:ind w:firstLine="0"/>
              <w:jc w:val="left"/>
            </w:pPr>
            <w:r>
              <w:rPr>
                <w:rFonts w:ascii="Times New Roman" w:hAnsi="Times New Roman"/>
                <w:sz w:val="22"/>
              </w:rPr>
              <w:t>—</w:t>
            </w:r>
          </w:p>
        </w:tc>
        <w:tc>
          <w:tcPr>
            <w:tcW w:type="dxa" w:w="1101"/>
          </w:tcPr>
          <w:p>
            <w:pPr>
              <w:spacing w:before="0" w:after="0"/>
              <w:ind w:firstLine="0"/>
              <w:jc w:val="left"/>
            </w:pPr>
            <w:r>
              <w:rPr>
                <w:rFonts w:ascii="Times New Roman" w:hAnsi="Times New Roman"/>
                <w:sz w:val="22"/>
              </w:rPr>
              <w:t>~100%</w:t>
            </w:r>
          </w:p>
        </w:tc>
        <w:tc>
          <w:tcPr>
            <w:tcW w:type="dxa" w:w="1101"/>
          </w:tcPr>
          <w:p>
            <w:pPr>
              <w:spacing w:before="0" w:after="0"/>
              <w:ind w:firstLine="0"/>
              <w:jc w:val="left"/>
            </w:pPr>
            <w:r>
              <w:rPr>
                <w:rFonts w:ascii="Times New Roman" w:hAnsi="Times New Roman"/>
                <w:sz w:val="22"/>
              </w:rPr>
              <w:t>—</w:t>
            </w:r>
          </w:p>
        </w:tc>
        <w:tc>
          <w:tcPr>
            <w:tcW w:type="dxa" w:w="1101"/>
          </w:tcPr>
          <w:p>
            <w:pPr>
              <w:spacing w:before="0" w:after="0"/>
              <w:ind w:firstLine="0"/>
              <w:jc w:val="left"/>
            </w:pPr>
            <w:r>
              <w:rPr>
                <w:rFonts w:ascii="Times New Roman" w:hAnsi="Times New Roman"/>
                <w:sz w:val="22"/>
              </w:rPr>
              <w:t>93%</w:t>
            </w:r>
          </w:p>
        </w:tc>
        <w:tc>
          <w:tcPr>
            <w:tcW w:type="dxa" w:w="1101"/>
          </w:tcPr>
          <w:p>
            <w:pPr>
              <w:spacing w:before="0" w:after="0"/>
              <w:ind w:firstLine="0"/>
              <w:jc w:val="left"/>
            </w:pPr>
            <w:r>
              <w:rPr>
                <w:rFonts w:ascii="Times New Roman" w:hAnsi="Times New Roman"/>
                <w:sz w:val="22"/>
              </w:rPr>
              <w:t>~1.07</w:t>
            </w:r>
          </w:p>
        </w:tc>
        <w:tc>
          <w:tcPr>
            <w:tcW w:type="dxa" w:w="1101"/>
          </w:tcPr>
          <w:p>
            <w:pPr>
              <w:spacing w:before="0" w:after="0"/>
              <w:ind w:firstLine="0"/>
              <w:jc w:val="left"/>
            </w:pPr>
            <w:r>
              <w:rPr>
                <w:rFonts w:ascii="Times New Roman" w:hAnsi="Times New Roman"/>
                <w:sz w:val="22"/>
              </w:rPr>
              <w:t>QM excelent — CHP prin cascadă</w:t>
            </w:r>
          </w:p>
        </w:tc>
      </w:tr>
    </w:tbl>
    <w:p>
      <w:pPr>
        <w:ind w:firstLine="0"/>
      </w:pPr>
    </w:p>
    <w:p>
      <w:pPr/>
      <w:r>
        <w:t>Analiza Tabelului 2 evidențiază un fapt remarcabil și sistematic neglijat în practica ingineriei energetice: pentru cea mai frecventă aplicație din sistemele DH rezidențiale — încălzirea spațiilor prin planșeu radiant sau convectoare joasă-T (T_cerere ~28–40°C) — un sistem 3G standard prezintă QMF de 0.11–0.22, indicând că 78–89% din exergia furnizată este distrusă prin mismatch calitativ. Nu prin pierderi tehnice, nu prin ineficiența echipamentelor — ci exclusiv prin nepotrivirea calitativă dintre sursă și cerere.</w:t>
      </w:r>
    </w:p>
    <w:p>
      <w:pPr>
        <w:ind w:firstLine="0"/>
      </w:pPr>
    </w:p>
    <w:p>
      <w:pPr>
        <w:pStyle w:val="SubHeading"/>
        <w:keepNext/>
      </w:pPr>
      <w:r>
        <w:t>4.2 Sensitivitatea qmf la temperatura de furnizare</w:t>
      </w:r>
    </w:p>
    <w:p>
      <w:pPr>
        <w:ind w:firstLine="0"/>
      </w:pPr>
    </w:p>
    <w:p>
      <w:pPr/>
      <w:r>
        <w:t>Relația QMF(T_cerere, T_sursa) permite analiza sensitivității QMF la variațiile temperaturii de furnizare, pentru o cerință fixă de T_cerere = 35°C (planșeu radiant, clădiri bine izolate, T₀ = 283 K):</w:t>
      </w:r>
    </w:p>
    <w:p>
      <w:pPr>
        <w:ind w:firstLine="0"/>
      </w:pPr>
    </w:p>
    <w:p>
      <w:pPr>
        <w:pStyle w:val="TableCaption"/>
      </w:pPr>
      <w:r>
        <w:t>Tabel 3. Sensitivitatea QMF și a exergiei distruse la temperatura de furnizare, pentru cerință fixă T_cerere = 35°C (planșeu radiant) și T₀ = 283 K. Sursă: calcul propriu.</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T_furnizare (°C)</w:t>
            </w:r>
          </w:p>
        </w:tc>
        <w:tc>
          <w:tcPr>
            <w:tcW w:type="dxa" w:w="1101"/>
          </w:tcPr>
          <w:p>
            <w:pPr>
              <w:spacing w:before="0" w:after="0"/>
              <w:ind w:firstLine="0"/>
              <w:jc w:val="left"/>
            </w:pPr>
            <w:r>
              <w:rPr>
                <w:rFonts w:ascii="Times New Roman" w:hAnsi="Times New Roman"/>
                <w:b/>
                <w:sz w:val="22"/>
              </w:rPr>
              <w:t>90°C (3G)</w:t>
            </w:r>
          </w:p>
        </w:tc>
        <w:tc>
          <w:tcPr>
            <w:tcW w:type="dxa" w:w="1101"/>
          </w:tcPr>
          <w:p>
            <w:pPr>
              <w:spacing w:before="0" w:after="0"/>
              <w:ind w:firstLine="0"/>
              <w:jc w:val="left"/>
            </w:pPr>
            <w:r>
              <w:rPr>
                <w:rFonts w:ascii="Times New Roman" w:hAnsi="Times New Roman"/>
                <w:b/>
                <w:sz w:val="22"/>
              </w:rPr>
              <w:t>70°C (4G)</w:t>
            </w:r>
          </w:p>
        </w:tc>
        <w:tc>
          <w:tcPr>
            <w:tcW w:type="dxa" w:w="1101"/>
          </w:tcPr>
          <w:p>
            <w:pPr>
              <w:spacing w:before="0" w:after="0"/>
              <w:ind w:firstLine="0"/>
              <w:jc w:val="left"/>
            </w:pPr>
            <w:r>
              <w:rPr>
                <w:rFonts w:ascii="Times New Roman" w:hAnsi="Times New Roman"/>
                <w:b/>
                <w:sz w:val="22"/>
              </w:rPr>
              <w:t>55°C (4G opt.)</w:t>
            </w:r>
          </w:p>
        </w:tc>
        <w:tc>
          <w:tcPr>
            <w:tcW w:type="dxa" w:w="1101"/>
          </w:tcPr>
          <w:p>
            <w:pPr>
              <w:spacing w:before="0" w:after="0"/>
              <w:ind w:firstLine="0"/>
              <w:jc w:val="left"/>
            </w:pPr>
            <w:r>
              <w:rPr>
                <w:rFonts w:ascii="Times New Roman" w:hAnsi="Times New Roman"/>
                <w:b/>
                <w:sz w:val="22"/>
              </w:rPr>
              <w:t>45°C (5G)</w:t>
            </w:r>
          </w:p>
        </w:tc>
        <w:tc>
          <w:tcPr>
            <w:tcW w:type="dxa" w:w="1101"/>
          </w:tcPr>
          <w:p>
            <w:pPr>
              <w:spacing w:before="0" w:after="0"/>
              <w:ind w:firstLine="0"/>
              <w:jc w:val="left"/>
            </w:pPr>
            <w:r>
              <w:rPr>
                <w:rFonts w:ascii="Times New Roman" w:hAnsi="Times New Roman"/>
                <w:b/>
                <w:sz w:val="22"/>
              </w:rPr>
              <w:t>38°C (6G N3)</w:t>
            </w:r>
          </w:p>
        </w:tc>
        <w:tc>
          <w:tcPr>
            <w:tcW w:type="dxa" w:w="1101"/>
          </w:tcPr>
          <w:p>
            <w:pPr>
              <w:spacing w:before="0" w:after="0"/>
              <w:ind w:firstLine="0"/>
              <w:jc w:val="left"/>
            </w:pPr>
            <w:r>
              <w:rPr>
                <w:rFonts w:ascii="Times New Roman" w:hAnsi="Times New Roman"/>
                <w:b/>
                <w:sz w:val="22"/>
              </w:rPr>
              <w:t>35°C (matching perfect)</w:t>
            </w:r>
          </w:p>
        </w:tc>
      </w:tr>
      <w:tr>
        <w:tc>
          <w:tcPr>
            <w:tcW w:type="dxa" w:w="1101"/>
          </w:tcPr>
          <w:p>
            <w:pPr>
              <w:spacing w:before="0" w:after="0"/>
              <w:ind w:firstLine="0"/>
              <w:jc w:val="left"/>
            </w:pPr>
            <w:r>
              <w:rPr>
                <w:rFonts w:ascii="Times New Roman" w:hAnsi="Times New Roman"/>
                <w:sz w:val="22"/>
              </w:rPr>
              <w:t>Ex_furnizat (% din Q)</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~14%</w:t>
            </w:r>
          </w:p>
        </w:tc>
        <w:tc>
          <w:tcPr>
            <w:tcW w:type="dxa" w:w="1101"/>
          </w:tcPr>
          <w:p>
            <w:pPr>
              <w:spacing w:before="0" w:after="0"/>
              <w:ind w:firstLine="0"/>
              <w:jc w:val="left"/>
            </w:pPr>
            <w:r>
              <w:rPr>
                <w:rFonts w:ascii="Times New Roman" w:hAnsi="Times New Roman"/>
                <w:sz w:val="22"/>
              </w:rPr>
              <w:t>~9%</w:t>
            </w:r>
          </w:p>
        </w:tc>
        <w:tc>
          <w:tcPr>
            <w:tcW w:type="dxa" w:w="1101"/>
          </w:tcPr>
          <w:p>
            <w:pPr>
              <w:spacing w:before="0" w:after="0"/>
              <w:ind w:firstLine="0"/>
              <w:jc w:val="left"/>
            </w:pPr>
            <w:r>
              <w:rPr>
                <w:rFonts w:ascii="Times New Roman" w:hAnsi="Times New Roman"/>
                <w:sz w:val="22"/>
              </w:rPr>
              <w:t>~6%</w:t>
            </w:r>
          </w:p>
        </w:tc>
        <w:tc>
          <w:tcPr>
            <w:tcW w:type="dxa" w:w="1101"/>
          </w:tcPr>
          <w:p>
            <w:pPr>
              <w:spacing w:before="0" w:after="0"/>
              <w:ind w:firstLine="0"/>
              <w:jc w:val="left"/>
            </w:pPr>
            <w:r>
              <w:rPr>
                <w:rFonts w:ascii="Times New Roman" w:hAnsi="Times New Roman"/>
                <w:sz w:val="22"/>
              </w:rPr>
              <w:t>~4%</w:t>
            </w:r>
          </w:p>
        </w:tc>
        <w:tc>
          <w:tcPr>
            <w:tcW w:type="dxa" w:w="1101"/>
          </w:tcPr>
          <w:p>
            <w:pPr>
              <w:spacing w:before="0" w:after="0"/>
              <w:ind w:firstLine="0"/>
              <w:jc w:val="left"/>
            </w:pPr>
            <w:r>
              <w:rPr>
                <w:rFonts w:ascii="Times New Roman" w:hAnsi="Times New Roman"/>
                <w:sz w:val="22"/>
              </w:rPr>
              <w:t>~3%</w:t>
            </w:r>
          </w:p>
        </w:tc>
      </w:tr>
      <w:tr>
        <w:tc>
          <w:tcPr>
            <w:tcW w:type="dxa" w:w="1101"/>
          </w:tcPr>
          <w:p>
            <w:pPr>
              <w:spacing w:before="0" w:after="0"/>
              <w:ind w:firstLine="0"/>
              <w:jc w:val="left"/>
            </w:pPr>
            <w:r>
              <w:rPr>
                <w:rFonts w:ascii="Times New Roman" w:hAnsi="Times New Roman"/>
                <w:sz w:val="22"/>
              </w:rPr>
              <w:t>QMF (T_cerere=35°C)</w:t>
            </w:r>
          </w:p>
        </w:tc>
        <w:tc>
          <w:tcPr>
            <w:tcW w:type="dxa" w:w="1101"/>
          </w:tcPr>
          <w:p>
            <w:pPr>
              <w:spacing w:before="0" w:after="0"/>
              <w:ind w:firstLine="0"/>
              <w:jc w:val="left"/>
            </w:pPr>
            <w:r>
              <w:rPr>
                <w:rFonts w:ascii="Times New Roman" w:hAnsi="Times New Roman"/>
                <w:sz w:val="22"/>
              </w:rPr>
              <w:t>0.17</w:t>
            </w:r>
          </w:p>
        </w:tc>
        <w:tc>
          <w:tcPr>
            <w:tcW w:type="dxa" w:w="1101"/>
          </w:tcPr>
          <w:p>
            <w:pPr>
              <w:spacing w:before="0" w:after="0"/>
              <w:ind w:firstLine="0"/>
              <w:jc w:val="left"/>
            </w:pPr>
            <w:r>
              <w:rPr>
                <w:rFonts w:ascii="Times New Roman" w:hAnsi="Times New Roman"/>
                <w:sz w:val="22"/>
              </w:rPr>
              <w:t>0.24</w:t>
            </w:r>
          </w:p>
        </w:tc>
        <w:tc>
          <w:tcPr>
            <w:tcW w:type="dxa" w:w="1101"/>
          </w:tcPr>
          <w:p>
            <w:pPr>
              <w:spacing w:before="0" w:after="0"/>
              <w:ind w:firstLine="0"/>
              <w:jc w:val="left"/>
            </w:pPr>
            <w:r>
              <w:rPr>
                <w:rFonts w:ascii="Times New Roman" w:hAnsi="Times New Roman"/>
                <w:sz w:val="22"/>
              </w:rPr>
              <w:t>0.38</w:t>
            </w:r>
          </w:p>
        </w:tc>
        <w:tc>
          <w:tcPr>
            <w:tcW w:type="dxa" w:w="1101"/>
          </w:tcPr>
          <w:p>
            <w:pPr>
              <w:spacing w:before="0" w:after="0"/>
              <w:ind w:firstLine="0"/>
              <w:jc w:val="left"/>
            </w:pPr>
            <w:r>
              <w:rPr>
                <w:rFonts w:ascii="Times New Roman" w:hAnsi="Times New Roman"/>
                <w:sz w:val="22"/>
              </w:rPr>
              <w:t>0.58</w:t>
            </w:r>
          </w:p>
        </w:tc>
        <w:tc>
          <w:tcPr>
            <w:tcW w:type="dxa" w:w="1101"/>
          </w:tcPr>
          <w:p>
            <w:pPr>
              <w:spacing w:before="0" w:after="0"/>
              <w:ind w:firstLine="0"/>
              <w:jc w:val="left"/>
            </w:pPr>
            <w:r>
              <w:rPr>
                <w:rFonts w:ascii="Times New Roman" w:hAnsi="Times New Roman"/>
                <w:sz w:val="22"/>
              </w:rPr>
              <w:t>0.84</w:t>
            </w:r>
          </w:p>
        </w:tc>
        <w:tc>
          <w:tcPr>
            <w:tcW w:type="dxa" w:w="1101"/>
          </w:tcPr>
          <w:p>
            <w:pPr>
              <w:spacing w:before="0" w:after="0"/>
              <w:ind w:firstLine="0"/>
              <w:jc w:val="left"/>
            </w:pPr>
            <w:r>
              <w:rPr>
                <w:rFonts w:ascii="Times New Roman" w:hAnsi="Times New Roman"/>
                <w:sz w:val="22"/>
              </w:rPr>
              <w:t>1.00</w:t>
            </w:r>
          </w:p>
        </w:tc>
      </w:tr>
      <w:tr>
        <w:tc>
          <w:tcPr>
            <w:tcW w:type="dxa" w:w="1101"/>
          </w:tcPr>
          <w:p>
            <w:pPr>
              <w:spacing w:before="0" w:after="0"/>
              <w:ind w:firstLine="0"/>
              <w:jc w:val="left"/>
            </w:pPr>
            <w:r>
              <w:rPr>
                <w:rFonts w:ascii="Times New Roman" w:hAnsi="Times New Roman"/>
                <w:sz w:val="22"/>
              </w:rPr>
              <w:t>φ_mismatch (%)</w:t>
            </w:r>
          </w:p>
        </w:tc>
        <w:tc>
          <w:tcPr>
            <w:tcW w:type="dxa" w:w="1101"/>
          </w:tcPr>
          <w:p>
            <w:pPr>
              <w:spacing w:before="0" w:after="0"/>
              <w:ind w:firstLine="0"/>
              <w:jc w:val="left"/>
            </w:pPr>
            <w:r>
              <w:rPr>
                <w:rFonts w:ascii="Times New Roman" w:hAnsi="Times New Roman"/>
                <w:sz w:val="22"/>
              </w:rPr>
              <w:t>83%</w:t>
            </w:r>
          </w:p>
        </w:tc>
        <w:tc>
          <w:tcPr>
            <w:tcW w:type="dxa" w:w="1101"/>
          </w:tcPr>
          <w:p>
            <w:pPr>
              <w:spacing w:before="0" w:after="0"/>
              <w:ind w:firstLine="0"/>
              <w:jc w:val="left"/>
            </w:pPr>
            <w:r>
              <w:rPr>
                <w:rFonts w:ascii="Times New Roman" w:hAnsi="Times New Roman"/>
                <w:sz w:val="22"/>
              </w:rPr>
              <w:t>76%</w:t>
            </w:r>
          </w:p>
        </w:tc>
        <w:tc>
          <w:tcPr>
            <w:tcW w:type="dxa" w:w="1101"/>
          </w:tcPr>
          <w:p>
            <w:pPr>
              <w:spacing w:before="0" w:after="0"/>
              <w:ind w:firstLine="0"/>
              <w:jc w:val="left"/>
            </w:pPr>
            <w:r>
              <w:rPr>
                <w:rFonts w:ascii="Times New Roman" w:hAnsi="Times New Roman"/>
                <w:sz w:val="22"/>
              </w:rPr>
              <w:t>62%</w:t>
            </w:r>
          </w:p>
        </w:tc>
        <w:tc>
          <w:tcPr>
            <w:tcW w:type="dxa" w:w="1101"/>
          </w:tcPr>
          <w:p>
            <w:pPr>
              <w:spacing w:before="0" w:after="0"/>
              <w:ind w:firstLine="0"/>
              <w:jc w:val="left"/>
            </w:pPr>
            <w:r>
              <w:rPr>
                <w:rFonts w:ascii="Times New Roman" w:hAnsi="Times New Roman"/>
                <w:sz w:val="22"/>
              </w:rPr>
              <w:t>42%</w:t>
            </w:r>
          </w:p>
        </w:tc>
        <w:tc>
          <w:tcPr>
            <w:tcW w:type="dxa" w:w="1101"/>
          </w:tcPr>
          <w:p>
            <w:pPr>
              <w:spacing w:before="0" w:after="0"/>
              <w:ind w:firstLine="0"/>
              <w:jc w:val="left"/>
            </w:pPr>
            <w:r>
              <w:rPr>
                <w:rFonts w:ascii="Times New Roman" w:hAnsi="Times New Roman"/>
                <w:sz w:val="22"/>
              </w:rPr>
              <w:t>16%</w:t>
            </w:r>
          </w:p>
        </w:tc>
        <w:tc>
          <w:tcPr>
            <w:tcW w:type="dxa" w:w="1101"/>
          </w:tcPr>
          <w:p>
            <w:pPr>
              <w:spacing w:before="0" w:after="0"/>
              <w:ind w:firstLine="0"/>
              <w:jc w:val="left"/>
            </w:pPr>
            <w:r>
              <w:rPr>
                <w:rFonts w:ascii="Times New Roman" w:hAnsi="Times New Roman"/>
                <w:sz w:val="22"/>
              </w:rPr>
              <w:t>0%</w:t>
            </w:r>
          </w:p>
        </w:tc>
      </w:tr>
      <w:tr>
        <w:tc>
          <w:tcPr>
            <w:tcW w:type="dxa" w:w="1101"/>
          </w:tcPr>
          <w:p>
            <w:pPr>
              <w:spacing w:before="0" w:after="0"/>
              <w:ind w:firstLine="0"/>
              <w:jc w:val="left"/>
            </w:pPr>
            <w:r>
              <w:rPr>
                <w:rFonts w:ascii="Times New Roman" w:hAnsi="Times New Roman"/>
                <w:sz w:val="22"/>
              </w:rPr>
              <w:t>Ex_destroyed (kWh_ex/MWh_Q)</w:t>
            </w:r>
          </w:p>
        </w:tc>
        <w:tc>
          <w:tcPr>
            <w:tcW w:type="dxa" w:w="1101"/>
          </w:tcPr>
          <w:p>
            <w:pPr>
              <w:spacing w:before="0" w:after="0"/>
              <w:ind w:firstLine="0"/>
              <w:jc w:val="left"/>
            </w:pPr>
            <w:r>
              <w:rPr>
                <w:rFonts w:ascii="Times New Roman" w:hAnsi="Times New Roman"/>
                <w:sz w:val="22"/>
              </w:rPr>
              <w:t>166</w:t>
            </w:r>
          </w:p>
        </w:tc>
        <w:tc>
          <w:tcPr>
            <w:tcW w:type="dxa" w:w="1101"/>
          </w:tcPr>
          <w:p>
            <w:pPr>
              <w:spacing w:before="0" w:after="0"/>
              <w:ind w:firstLine="0"/>
              <w:jc w:val="left"/>
            </w:pPr>
            <w:r>
              <w:rPr>
                <w:rFonts w:ascii="Times New Roman" w:hAnsi="Times New Roman"/>
                <w:sz w:val="22"/>
              </w:rPr>
              <w:t>107</w:t>
            </w:r>
          </w:p>
        </w:tc>
        <w:tc>
          <w:tcPr>
            <w:tcW w:type="dxa" w:w="1101"/>
          </w:tcPr>
          <w:p>
            <w:pPr>
              <w:spacing w:before="0" w:after="0"/>
              <w:ind w:firstLine="0"/>
              <w:jc w:val="left"/>
            </w:pPr>
            <w:r>
              <w:rPr>
                <w:rFonts w:ascii="Times New Roman" w:hAnsi="Times New Roman"/>
                <w:sz w:val="22"/>
              </w:rPr>
              <w:t>62</w:t>
            </w:r>
          </w:p>
        </w:tc>
        <w:tc>
          <w:tcPr>
            <w:tcW w:type="dxa" w:w="1101"/>
          </w:tcPr>
          <w:p>
            <w:pPr>
              <w:spacing w:before="0" w:after="0"/>
              <w:ind w:firstLine="0"/>
              <w:jc w:val="left"/>
            </w:pPr>
            <w:r>
              <w:rPr>
                <w:rFonts w:ascii="Times New Roman" w:hAnsi="Times New Roman"/>
                <w:sz w:val="22"/>
              </w:rPr>
              <w:t>25</w:t>
            </w:r>
          </w:p>
        </w:tc>
        <w:tc>
          <w:tcPr>
            <w:tcW w:type="dxa" w:w="1101"/>
          </w:tcPr>
          <w:p>
            <w:pPr>
              <w:spacing w:before="0" w:after="0"/>
              <w:ind w:firstLine="0"/>
              <w:jc w:val="left"/>
            </w:pPr>
            <w:r>
              <w:rPr>
                <w:rFonts w:ascii="Times New Roman" w:hAnsi="Times New Roman"/>
                <w:sz w:val="22"/>
              </w:rPr>
              <w:t>8</w:t>
            </w:r>
          </w:p>
        </w:tc>
        <w:tc>
          <w:tcPr>
            <w:tcW w:type="dxa" w:w="1101"/>
          </w:tcPr>
          <w:p>
            <w:pPr>
              <w:spacing w:before="0" w:after="0"/>
              <w:ind w:firstLine="0"/>
              <w:jc w:val="left"/>
            </w:pPr>
            <w:r>
              <w:rPr>
                <w:rFonts w:ascii="Times New Roman" w:hAnsi="Times New Roman"/>
                <w:sz w:val="22"/>
              </w:rPr>
              <w:t>0</w:t>
            </w:r>
          </w:p>
        </w:tc>
      </w:tr>
    </w:tbl>
    <w:p>
      <w:pPr>
        <w:ind w:firstLine="0"/>
      </w:pPr>
    </w:p>
    <w:p>
      <w:pPr/>
      <w:r>
        <w:t>Tabelul 3 demonstrează că reducerea temperaturii de furnizare de la 90°C (3G) la 38°C (6G — Nivelul N3) reduce exergia distrusă prin mismatch de la 166 kWh_ex per MWh termic livrat la doar 8 kWh_ex/MWh — o reducere de ~95%. Aceasta este justificarea termodinamică fundamentală a cascadei multi-nivel N1→N4 din arhitectura 6G.</w:t>
      </w:r>
    </w:p>
    <w:p>
      <w:pPr>
        <w:ind w:firstLine="0"/>
      </w:pPr>
    </w:p>
    <w:p>
      <w:pPr>
        <w:pStyle w:val="ChapterHeading"/>
        <w:keepNext/>
      </w:pPr>
      <w:r>
        <w:t>5. Cuantificarea Pierderilor Exergetice în Sistemele 3G Convenționale</w:t>
      </w:r>
    </w:p>
    <w:p>
      <w:pPr>
        <w:ind w:firstLine="0"/>
      </w:pPr>
    </w:p>
    <w:p>
      <w:pPr>
        <w:pStyle w:val="SubHeading"/>
        <w:keepNext/>
      </w:pPr>
      <w:r>
        <w:t>5.1 Descompunerea pierderilor exergetice pe subsisteme</w:t>
      </w:r>
    </w:p>
    <w:p>
      <w:pPr>
        <w:ind w:firstLine="0"/>
      </w:pPr>
    </w:p>
    <w:p>
      <w:pPr/>
      <w:r>
        <w:t>Un sistem de termoficare centralizată convențional de generația 3G poate fi descompus în cinci subsisteme principale, fiecare generând pierderi exergetice specifice: (1) sursa (cazan/centrală termică); (2) sistemul de transport primar; (3) substația de transfer; (4) instalația interioară; (5) emisia finală la consumator. Tabelul 4 prezintă cuantificarea pierderilor exergetice pe subsisteme, pentru un sistem 3G reprezentativ cu gaz natural la 90/65°C tur/retur, T₀ = 283 K:</w:t>
      </w:r>
    </w:p>
    <w:p>
      <w:pPr>
        <w:ind w:firstLine="0"/>
      </w:pPr>
    </w:p>
    <w:p>
      <w:pPr>
        <w:pStyle w:val="TableCaption"/>
      </w:pPr>
      <w:r>
        <w:t>Tabel 4. Descompunerea pierderilor exergetice pe subsisteme, sistem 3G (gaz natural, T_furnizare = 90°C, T_retur = 65°C, T_cerere = 35°C). Surse: Bejan 1988, Sartor &amp; Dewallef 2017, calcul propriu. * Procesele de ardere generează între 77–83% din totalul distrugerii de exergie prin mismatch calitativ intrinsec (T_flacără &gt;&gt; T_cerere).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Proces / Subsistem</w:t>
            </w:r>
          </w:p>
        </w:tc>
        <w:tc>
          <w:tcPr>
            <w:tcW w:type="dxa" w:w="1285"/>
          </w:tcPr>
          <w:p>
            <w:pPr>
              <w:spacing w:before="0" w:after="0"/>
              <w:ind w:firstLine="0"/>
              <w:jc w:val="left"/>
            </w:pPr>
            <w:r>
              <w:rPr>
                <w:rFonts w:ascii="Times New Roman" w:hAnsi="Times New Roman"/>
                <w:b/>
                <w:sz w:val="22"/>
              </w:rPr>
              <w:t>η_energetică</w:t>
            </w:r>
          </w:p>
        </w:tc>
        <w:tc>
          <w:tcPr>
            <w:tcW w:type="dxa" w:w="1285"/>
          </w:tcPr>
          <w:p>
            <w:pPr>
              <w:spacing w:before="0" w:after="0"/>
              <w:ind w:firstLine="0"/>
              <w:jc w:val="left"/>
            </w:pPr>
            <w:r>
              <w:rPr>
                <w:rFonts w:ascii="Times New Roman" w:hAnsi="Times New Roman"/>
                <w:b/>
                <w:sz w:val="22"/>
              </w:rPr>
              <w:t>η_exergetică</w:t>
            </w:r>
          </w:p>
        </w:tc>
        <w:tc>
          <w:tcPr>
            <w:tcW w:type="dxa" w:w="1285"/>
          </w:tcPr>
          <w:p>
            <w:pPr>
              <w:spacing w:before="0" w:after="0"/>
              <w:ind w:firstLine="0"/>
              <w:jc w:val="left"/>
            </w:pPr>
            <w:r>
              <w:rPr>
                <w:rFonts w:ascii="Times New Roman" w:hAnsi="Times New Roman"/>
                <w:b/>
                <w:sz w:val="22"/>
              </w:rPr>
              <w:t>Ex_destroyed (%)</w:t>
            </w:r>
          </w:p>
        </w:tc>
        <w:tc>
          <w:tcPr>
            <w:tcW w:type="dxa" w:w="1285"/>
          </w:tcPr>
          <w:p>
            <w:pPr>
              <w:spacing w:before="0" w:after="0"/>
              <w:ind w:firstLine="0"/>
              <w:jc w:val="left"/>
            </w:pPr>
            <w:r>
              <w:rPr>
                <w:rFonts w:ascii="Times New Roman" w:hAnsi="Times New Roman"/>
                <w:b/>
                <w:sz w:val="22"/>
              </w:rPr>
              <w:t>Tip pierdere</w:t>
            </w:r>
          </w:p>
        </w:tc>
        <w:tc>
          <w:tcPr>
            <w:tcW w:type="dxa" w:w="1285"/>
          </w:tcPr>
          <w:p>
            <w:pPr>
              <w:spacing w:before="0" w:after="0"/>
              <w:ind w:firstLine="0"/>
              <w:jc w:val="left"/>
            </w:pPr>
            <w:r>
              <w:rPr>
                <w:rFonts w:ascii="Times New Roman" w:hAnsi="Times New Roman"/>
                <w:b/>
                <w:sz w:val="22"/>
              </w:rPr>
              <w:t>Mecanism fizic</w:t>
            </w:r>
          </w:p>
        </w:tc>
      </w:tr>
      <w:tr>
        <w:tc>
          <w:tcPr>
            <w:tcW w:type="dxa" w:w="1285"/>
          </w:tcPr>
          <w:p>
            <w:pPr>
              <w:spacing w:before="0" w:after="0"/>
              <w:ind w:firstLine="0"/>
              <w:jc w:val="left"/>
            </w:pPr>
            <w:r>
              <w:rPr>
                <w:rFonts w:ascii="Times New Roman" w:hAnsi="Times New Roman"/>
                <w:sz w:val="22"/>
              </w:rPr>
              <w:t>Ardere gaz natural în cazan</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~12–18%</w:t>
            </w:r>
          </w:p>
        </w:tc>
        <w:tc>
          <w:tcPr>
            <w:tcW w:type="dxa" w:w="1285"/>
          </w:tcPr>
          <w:p>
            <w:pPr>
              <w:spacing w:before="0" w:after="0"/>
              <w:ind w:firstLine="0"/>
              <w:jc w:val="left"/>
            </w:pPr>
            <w:r>
              <w:rPr>
                <w:rFonts w:ascii="Times New Roman" w:hAnsi="Times New Roman"/>
                <w:sz w:val="22"/>
              </w:rPr>
              <w:t>~77–83%</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Degradare calitate: T_flacără ~1500°C → apă 90°C</w:t>
            </w:r>
          </w:p>
        </w:tc>
      </w:tr>
      <w:tr>
        <w:tc>
          <w:tcPr>
            <w:tcW w:type="dxa" w:w="1285"/>
          </w:tcPr>
          <w:p>
            <w:pPr>
              <w:spacing w:before="0" w:after="0"/>
              <w:ind w:firstLine="0"/>
              <w:jc w:val="left"/>
            </w:pPr>
            <w:r>
              <w:rPr>
                <w:rFonts w:ascii="Times New Roman" w:hAnsi="Times New Roman"/>
                <w:sz w:val="22"/>
              </w:rPr>
              <w:t>Transfer termic cazan → fluid</w:t>
            </w:r>
          </w:p>
        </w:tc>
        <w:tc>
          <w:tcPr>
            <w:tcW w:type="dxa" w:w="1285"/>
          </w:tcPr>
          <w:p>
            <w:pPr>
              <w:spacing w:before="0" w:after="0"/>
              <w:ind w:firstLine="0"/>
              <w:jc w:val="left"/>
            </w:pPr>
            <w:r>
              <w:rPr>
                <w:rFonts w:ascii="Times New Roman" w:hAnsi="Times New Roman"/>
                <w:sz w:val="22"/>
              </w:rPr>
              <w:t>~97%</w:t>
            </w:r>
          </w:p>
        </w:tc>
        <w:tc>
          <w:tcPr>
            <w:tcW w:type="dxa" w:w="1285"/>
          </w:tcPr>
          <w:p>
            <w:pPr>
              <w:spacing w:before="0" w:after="0"/>
              <w:ind w:firstLine="0"/>
              <w:jc w:val="left"/>
            </w:pPr>
            <w:r>
              <w:rPr>
                <w:rFonts w:ascii="Times New Roman" w:hAnsi="Times New Roman"/>
                <w:sz w:val="22"/>
              </w:rPr>
              <w:t>~65–75%</w:t>
            </w:r>
          </w:p>
        </w:tc>
        <w:tc>
          <w:tcPr>
            <w:tcW w:type="dxa" w:w="1285"/>
          </w:tcPr>
          <w:p>
            <w:pPr>
              <w:spacing w:before="0" w:after="0"/>
              <w:ind w:firstLine="0"/>
              <w:jc w:val="left"/>
            </w:pPr>
            <w:r>
              <w:rPr>
                <w:rFonts w:ascii="Times New Roman" w:hAnsi="Times New Roman"/>
                <w:sz w:val="22"/>
              </w:rPr>
              <w:t>~22–32%</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Diferență ΔT mare între gaze ardere și fluid</w:t>
            </w:r>
          </w:p>
        </w:tc>
      </w:tr>
      <w:tr>
        <w:tc>
          <w:tcPr>
            <w:tcW w:type="dxa" w:w="1285"/>
          </w:tcPr>
          <w:p>
            <w:pPr>
              <w:spacing w:before="0" w:after="0"/>
              <w:ind w:firstLine="0"/>
              <w:jc w:val="left"/>
            </w:pPr>
            <w:r>
              <w:rPr>
                <w:rFonts w:ascii="Times New Roman" w:hAnsi="Times New Roman"/>
                <w:sz w:val="22"/>
              </w:rPr>
              <w:t>Pompare agent termic</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~88%</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Frecare hidraulică, pierderi în lagăre</w:t>
            </w:r>
          </w:p>
        </w:tc>
      </w:tr>
      <w:tr>
        <w:tc>
          <w:tcPr>
            <w:tcW w:type="dxa" w:w="1285"/>
          </w:tcPr>
          <w:p>
            <w:pPr>
              <w:spacing w:before="0" w:after="0"/>
              <w:ind w:firstLine="0"/>
              <w:jc w:val="left"/>
            </w:pPr>
            <w:r>
              <w:rPr>
                <w:rFonts w:ascii="Times New Roman" w:hAnsi="Times New Roman"/>
                <w:sz w:val="22"/>
              </w:rPr>
              <w:t>Transport prin rețea (pierderi DH3G)</w:t>
            </w:r>
          </w:p>
        </w:tc>
        <w:tc>
          <w:tcPr>
            <w:tcW w:type="dxa" w:w="1285"/>
          </w:tcPr>
          <w:p>
            <w:pPr>
              <w:spacing w:before="0" w:after="0"/>
              <w:ind w:firstLine="0"/>
              <w:jc w:val="left"/>
            </w:pPr>
            <w:r>
              <w:rPr>
                <w:rFonts w:ascii="Times New Roman" w:hAnsi="Times New Roman"/>
                <w:sz w:val="22"/>
              </w:rPr>
              <w:t>~88%</w:t>
            </w:r>
          </w:p>
        </w:tc>
        <w:tc>
          <w:tcPr>
            <w:tcW w:type="dxa" w:w="1285"/>
          </w:tcPr>
          <w:p>
            <w:pPr>
              <w:spacing w:before="0" w:after="0"/>
              <w:ind w:firstLine="0"/>
              <w:jc w:val="left"/>
            </w:pPr>
            <w:r>
              <w:rPr>
                <w:rFonts w:ascii="Times New Roman" w:hAnsi="Times New Roman"/>
                <w:sz w:val="22"/>
              </w:rPr>
              <w:t>~86%</w:t>
            </w:r>
          </w:p>
        </w:tc>
        <w:tc>
          <w:tcPr>
            <w:tcW w:type="dxa" w:w="1285"/>
          </w:tcPr>
          <w:p>
            <w:pPr>
              <w:spacing w:before="0" w:after="0"/>
              <w:ind w:firstLine="0"/>
              <w:jc w:val="left"/>
            </w:pPr>
            <w:r>
              <w:rPr>
                <w:rFonts w:ascii="Times New Roman" w:hAnsi="Times New Roman"/>
                <w:sz w:val="22"/>
              </w:rPr>
              <w:t>~14%</w:t>
            </w:r>
          </w:p>
        </w:tc>
        <w:tc>
          <w:tcPr>
            <w:tcW w:type="dxa" w:w="1285"/>
          </w:tcPr>
          <w:p>
            <w:pPr>
              <w:spacing w:before="0" w:after="0"/>
              <w:ind w:firstLine="0"/>
              <w:jc w:val="left"/>
            </w:pPr>
            <w:r>
              <w:rPr>
                <w:rFonts w:ascii="Times New Roman" w:hAnsi="Times New Roman"/>
                <w:sz w:val="22"/>
              </w:rPr>
              <w:t>Irevers.+Evitabilă</w:t>
            </w:r>
          </w:p>
        </w:tc>
        <w:tc>
          <w:tcPr>
            <w:tcW w:type="dxa" w:w="1285"/>
          </w:tcPr>
          <w:p>
            <w:pPr>
              <w:spacing w:before="0" w:after="0"/>
              <w:ind w:firstLine="0"/>
              <w:jc w:val="left"/>
            </w:pPr>
            <w:r>
              <w:rPr>
                <w:rFonts w:ascii="Times New Roman" w:hAnsi="Times New Roman"/>
                <w:sz w:val="22"/>
              </w:rPr>
              <w:t>Pierderi termic + frecare; ΔT cu solul = ~20–40°C</w:t>
            </w:r>
          </w:p>
        </w:tc>
      </w:tr>
      <w:tr>
        <w:tc>
          <w:tcPr>
            <w:tcW w:type="dxa" w:w="1285"/>
          </w:tcPr>
          <w:p>
            <w:pPr>
              <w:spacing w:before="0" w:after="0"/>
              <w:ind w:firstLine="0"/>
              <w:jc w:val="left"/>
            </w:pPr>
            <w:r>
              <w:rPr>
                <w:rFonts w:ascii="Times New Roman" w:hAnsi="Times New Roman"/>
                <w:sz w:val="22"/>
              </w:rPr>
              <w:t>Substatia prosumator (HEX)</w:t>
            </w:r>
          </w:p>
        </w:tc>
        <w:tc>
          <w:tcPr>
            <w:tcW w:type="dxa" w:w="1285"/>
          </w:tcPr>
          <w:p>
            <w:pPr>
              <w:spacing w:before="0" w:after="0"/>
              <w:ind w:firstLine="0"/>
              <w:jc w:val="left"/>
            </w:pPr>
            <w:r>
              <w:rPr>
                <w:rFonts w:ascii="Times New Roman" w:hAnsi="Times New Roman"/>
                <w:sz w:val="22"/>
              </w:rPr>
              <w:t>~98%</w:t>
            </w:r>
          </w:p>
        </w:tc>
        <w:tc>
          <w:tcPr>
            <w:tcW w:type="dxa" w:w="1285"/>
          </w:tcPr>
          <w:p>
            <w:pPr>
              <w:spacing w:before="0" w:after="0"/>
              <w:ind w:firstLine="0"/>
              <w:jc w:val="left"/>
            </w:pPr>
            <w:r>
              <w:rPr>
                <w:rFonts w:ascii="Times New Roman" w:hAnsi="Times New Roman"/>
                <w:sz w:val="22"/>
              </w:rPr>
              <w:t>~80–88%</w:t>
            </w:r>
          </w:p>
        </w:tc>
        <w:tc>
          <w:tcPr>
            <w:tcW w:type="dxa" w:w="1285"/>
          </w:tcPr>
          <w:p>
            <w:pPr>
              <w:spacing w:before="0" w:after="0"/>
              <w:ind w:firstLine="0"/>
              <w:jc w:val="left"/>
            </w:pPr>
            <w:r>
              <w:rPr>
                <w:rFonts w:ascii="Times New Roman" w:hAnsi="Times New Roman"/>
                <w:sz w:val="22"/>
              </w:rPr>
              <w:t>~10–18%</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ΔT HEX 5–10°C; irreversibilitate amestec</w:t>
            </w:r>
          </w:p>
        </w:tc>
      </w:tr>
      <w:tr>
        <w:tc>
          <w:tcPr>
            <w:tcW w:type="dxa" w:w="1285"/>
          </w:tcPr>
          <w:p>
            <w:pPr>
              <w:spacing w:before="0" w:after="0"/>
              <w:ind w:firstLine="0"/>
              <w:jc w:val="left"/>
            </w:pPr>
            <w:r>
              <w:rPr>
                <w:rFonts w:ascii="Times New Roman" w:hAnsi="Times New Roman"/>
                <w:sz w:val="22"/>
              </w:rPr>
              <w:t>Emisie la consumator (radiator)</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~55–70%</w:t>
            </w:r>
          </w:p>
        </w:tc>
        <w:tc>
          <w:tcPr>
            <w:tcW w:type="dxa" w:w="1285"/>
          </w:tcPr>
          <w:p>
            <w:pPr>
              <w:spacing w:before="0" w:after="0"/>
              <w:ind w:firstLine="0"/>
              <w:jc w:val="left"/>
            </w:pPr>
            <w:r>
              <w:rPr>
                <w:rFonts w:ascii="Times New Roman" w:hAnsi="Times New Roman"/>
                <w:sz w:val="22"/>
              </w:rPr>
              <w:t>~25–40%</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T_radiator 70°C &gt;&gt; T_cerere ~20°C; QMF ~0.15</w:t>
            </w:r>
          </w:p>
        </w:tc>
      </w:tr>
      <w:tr>
        <w:tc>
          <w:tcPr>
            <w:tcW w:type="dxa" w:w="1285"/>
          </w:tcPr>
          <w:p>
            <w:pPr>
              <w:spacing w:before="0" w:after="0"/>
              <w:ind w:firstLine="0"/>
              <w:jc w:val="left"/>
            </w:pPr>
            <w:r>
              <w:rPr>
                <w:rFonts w:ascii="Times New Roman" w:hAnsi="Times New Roman"/>
                <w:sz w:val="22"/>
              </w:rPr>
              <w:t>TOTAL SISTEM 3G (cascadat)</w:t>
            </w:r>
          </w:p>
        </w:tc>
        <w:tc>
          <w:tcPr>
            <w:tcW w:type="dxa" w:w="1285"/>
          </w:tcPr>
          <w:p>
            <w:pPr>
              <w:spacing w:before="0" w:after="0"/>
              <w:ind w:firstLine="0"/>
              <w:jc w:val="left"/>
            </w:pPr>
            <w:r>
              <w:rPr>
                <w:rFonts w:ascii="Times New Roman" w:hAnsi="Times New Roman"/>
                <w:sz w:val="22"/>
              </w:rPr>
              <w:t>~70–80%</w:t>
            </w:r>
          </w:p>
        </w:tc>
        <w:tc>
          <w:tcPr>
            <w:tcW w:type="dxa" w:w="1285"/>
          </w:tcPr>
          <w:p>
            <w:pPr>
              <w:spacing w:before="0" w:after="0"/>
              <w:ind w:firstLine="0"/>
              <w:jc w:val="left"/>
            </w:pPr>
            <w:r>
              <w:rPr>
                <w:rFonts w:ascii="Times New Roman" w:hAnsi="Times New Roman"/>
                <w:sz w:val="22"/>
              </w:rPr>
              <w:t>~3–12%</w:t>
            </w:r>
          </w:p>
        </w:tc>
        <w:tc>
          <w:tcPr>
            <w:tcW w:type="dxa" w:w="1285"/>
          </w:tcPr>
          <w:p>
            <w:pPr>
              <w:spacing w:before="0" w:after="0"/>
              <w:ind w:firstLine="0"/>
              <w:jc w:val="left"/>
            </w:pPr>
            <w:r>
              <w:rPr>
                <w:rFonts w:ascii="Times New Roman" w:hAnsi="Times New Roman"/>
                <w:sz w:val="22"/>
              </w:rPr>
              <w:t>~88–97%</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Eficiența exergetică reală mult sub cea energetică</w:t>
            </w:r>
          </w:p>
        </w:tc>
      </w:tr>
    </w:tbl>
    <w:p>
      <w:pPr>
        <w:ind w:firstLine="0"/>
      </w:pPr>
    </w:p>
    <w:p>
      <w:pPr>
        <w:ind w:firstLine="0"/>
      </w:pPr>
    </w:p>
    <w:p>
      <w:pPr>
        <w:pStyle w:val="SubHeading"/>
        <w:keepNext/>
      </w:pPr>
      <w:r>
        <w:t>5.2 Sursa dominantă: procesul de ardere ca generator de mismatch exergetic</w:t>
      </w:r>
    </w:p>
    <w:p>
      <w:pPr>
        <w:ind w:firstLine="0"/>
      </w:pPr>
    </w:p>
    <w:p>
      <w:pPr/>
      <w:r>
        <w:t>Analiza Tabelului 4 identifică procesul de ardere ca sursă dominantă a distrugerii de exergie (~77–83% din total) — o observație cu consecințe strategice majore. Reducerea acestei pierderi nu poate fi realizată prin îmbunătățiri incrementale ale cazanului (un cazan de 98% eficiență energetică vs. 95% rezolvă o fracție neglijabilă din problema), ci necesită o schimbare de paradigmă: înlocuirea arderii cu pompe de căldură (care utilizează electricitate cu exergie ridicată pentru a „pompa" exergie termică din surse de joasă temperatură) sau cogenerare CHP (care distribuie exergia combustibilului pe trepte de temperatură multiple, maximizând utilizarea calitativă).</w:t>
      </w:r>
    </w:p>
    <w:p>
      <w:pPr/>
      <w:r>
        <w:t>Concluzie cheie: Distrugerea de exergie în sistemele 3G este de natură preponderent structurală (nu tehnică), generată de nepotrivirea calitativă fundamentală dintre sursa de energie (ardere, ~1500°C, exergie ~93%) și cererea termică (~35°C, exergie ~4%). Niciun nivel de eficiență energetică a echipamentelor individuale nu poate elimina această distrugere structurală — singura soluție este schimbarea sursei sau a arhitecturii sistemului.</w:t>
      </w:r>
    </w:p>
    <w:p>
      <w:pPr>
        <w:ind w:firstLine="0"/>
      </w:pPr>
    </w:p>
    <w:p>
      <w:pPr>
        <w:pStyle w:val="SubHeading"/>
        <w:keepNext/>
      </w:pPr>
      <w:r>
        <w:t>5.3 Cuantificarea la scară națională — estimare pentru românia</w:t>
      </w:r>
    </w:p>
    <w:p>
      <w:pPr>
        <w:ind w:firstLine="0"/>
      </w:pPr>
    </w:p>
    <w:p>
      <w:pPr/>
      <w:r>
        <w:t>Pornind de la datele Tabelului 4 și aplicând la scara sistemului de termoficare centralizată din România (estimat la ~3.5 TWh/an energie termică distribuită în sisteme DH urbane active, conform ANRE 2024), putem estima magnitudinea pierderilor exergetice prin mismatch:</w:t>
      </w:r>
    </w:p>
    <w:p>
      <w:pPr>
        <w:ind w:firstLine="0"/>
      </w:pPr>
    </w:p>
    <w:p>
      <w:pPr>
        <w:pStyle w:val="TableCaption"/>
      </w:pPr>
      <w:r>
        <w:t>Tabel 5. Estimare pierderi exergetice prin mismatch calitativ în sistemele DH din România. Calculul utilizează metodologia bilanțului exergetic cu T₀ = 283 K. Cifrele sunt estimative, pentru ilustrarea ordinelor de magnitudine; incertitudinile metodologice sunt estimate la ±30%.</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Indicator</w:t>
            </w:r>
          </w:p>
        </w:tc>
        <w:tc>
          <w:tcPr>
            <w:tcW w:type="dxa" w:w="1927"/>
          </w:tcPr>
          <w:p>
            <w:pPr>
              <w:spacing w:before="0" w:after="0"/>
              <w:ind w:firstLine="0"/>
              <w:jc w:val="left"/>
            </w:pPr>
            <w:r>
              <w:rPr>
                <w:rFonts w:ascii="Times New Roman" w:hAnsi="Times New Roman"/>
                <w:b/>
                <w:sz w:val="22"/>
              </w:rPr>
              <w:t>Valoare</w:t>
            </w:r>
          </w:p>
        </w:tc>
        <w:tc>
          <w:tcPr>
            <w:tcW w:type="dxa" w:w="1927"/>
          </w:tcPr>
          <w:p>
            <w:pPr>
              <w:spacing w:before="0" w:after="0"/>
              <w:ind w:firstLine="0"/>
              <w:jc w:val="left"/>
            </w:pPr>
            <w:r>
              <w:rPr>
                <w:rFonts w:ascii="Times New Roman" w:hAnsi="Times New Roman"/>
                <w:b/>
                <w:sz w:val="22"/>
              </w:rPr>
              <w:t>Unitate</w:t>
            </w:r>
          </w:p>
        </w:tc>
        <w:tc>
          <w:tcPr>
            <w:tcW w:type="dxa" w:w="1927"/>
          </w:tcPr>
          <w:p>
            <w:pPr>
              <w:spacing w:before="0" w:after="0"/>
              <w:ind w:firstLine="0"/>
              <w:jc w:val="left"/>
            </w:pPr>
            <w:r>
              <w:rPr>
                <w:rFonts w:ascii="Times New Roman" w:hAnsi="Times New Roman"/>
                <w:b/>
                <w:sz w:val="22"/>
              </w:rPr>
              <w:t>Observație</w:t>
            </w:r>
          </w:p>
        </w:tc>
      </w:tr>
      <w:tr>
        <w:tc>
          <w:tcPr>
            <w:tcW w:type="dxa" w:w="1927"/>
          </w:tcPr>
          <w:p>
            <w:pPr>
              <w:spacing w:before="0" w:after="0"/>
              <w:ind w:firstLine="0"/>
              <w:jc w:val="left"/>
            </w:pPr>
            <w:r>
              <w:rPr>
                <w:rFonts w:ascii="Times New Roman" w:hAnsi="Times New Roman"/>
                <w:sz w:val="22"/>
              </w:rPr>
              <w:t>Energie termică distribuită DH România (est.)</w:t>
            </w:r>
          </w:p>
        </w:tc>
        <w:tc>
          <w:tcPr>
            <w:tcW w:type="dxa" w:w="1927"/>
          </w:tcPr>
          <w:p>
            <w:pPr>
              <w:spacing w:before="0" w:after="0"/>
              <w:ind w:firstLine="0"/>
              <w:jc w:val="left"/>
            </w:pPr>
            <w:r>
              <w:rPr>
                <w:rFonts w:ascii="Times New Roman" w:hAnsi="Times New Roman"/>
                <w:sz w:val="22"/>
              </w:rPr>
              <w:t>3.5</w:t>
            </w:r>
          </w:p>
        </w:tc>
        <w:tc>
          <w:tcPr>
            <w:tcW w:type="dxa" w:w="1927"/>
          </w:tcPr>
          <w:p>
            <w:pPr>
              <w:spacing w:before="0" w:after="0"/>
              <w:ind w:firstLine="0"/>
              <w:jc w:val="left"/>
            </w:pPr>
            <w:r>
              <w:rPr>
                <w:rFonts w:ascii="Times New Roman" w:hAnsi="Times New Roman"/>
                <w:sz w:val="22"/>
              </w:rPr>
              <w:t>TWh/an</w:t>
            </w:r>
          </w:p>
        </w:tc>
        <w:tc>
          <w:tcPr>
            <w:tcW w:type="dxa" w:w="1927"/>
          </w:tcPr>
          <w:p>
            <w:pPr>
              <w:spacing w:before="0" w:after="0"/>
              <w:ind w:firstLine="0"/>
              <w:jc w:val="left"/>
            </w:pPr>
            <w:r>
              <w:rPr>
                <w:rFonts w:ascii="Times New Roman" w:hAnsi="Times New Roman"/>
                <w:sz w:val="22"/>
              </w:rPr>
              <w:t>Sisteme SACET active; ANRE 2024 (est.)</w:t>
            </w:r>
          </w:p>
        </w:tc>
      </w:tr>
      <w:tr>
        <w:tc>
          <w:tcPr>
            <w:tcW w:type="dxa" w:w="1927"/>
          </w:tcPr>
          <w:p>
            <w:pPr>
              <w:spacing w:before="0" w:after="0"/>
              <w:ind w:firstLine="0"/>
              <w:jc w:val="left"/>
            </w:pPr>
            <w:r>
              <w:rPr>
                <w:rFonts w:ascii="Times New Roman" w:hAnsi="Times New Roman"/>
                <w:sz w:val="22"/>
              </w:rPr>
              <w:t>Ex_furnizat (gaz natural, η_cazan=90%)</w:t>
            </w:r>
          </w:p>
        </w:tc>
        <w:tc>
          <w:tcPr>
            <w:tcW w:type="dxa" w:w="1927"/>
          </w:tcPr>
          <w:p>
            <w:pPr>
              <w:spacing w:before="0" w:after="0"/>
              <w:ind w:firstLine="0"/>
              <w:jc w:val="left"/>
            </w:pPr>
            <w:r>
              <w:rPr>
                <w:rFonts w:ascii="Times New Roman" w:hAnsi="Times New Roman"/>
                <w:sz w:val="22"/>
              </w:rPr>
              <w:t>~1.47</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Ex_gaz = E_gaz × 0.93; η_cazan aplicat</w:t>
            </w:r>
          </w:p>
        </w:tc>
      </w:tr>
      <w:tr>
        <w:tc>
          <w:tcPr>
            <w:tcW w:type="dxa" w:w="1927"/>
          </w:tcPr>
          <w:p>
            <w:pPr>
              <w:spacing w:before="0" w:after="0"/>
              <w:ind w:firstLine="0"/>
              <w:jc w:val="left"/>
            </w:pPr>
            <w:r>
              <w:rPr>
                <w:rFonts w:ascii="Times New Roman" w:hAnsi="Times New Roman"/>
                <w:sz w:val="22"/>
              </w:rPr>
              <w:t>Ex_cerere (încălzire spații, T_cerere=35°C)</w:t>
            </w:r>
          </w:p>
        </w:tc>
        <w:tc>
          <w:tcPr>
            <w:tcW w:type="dxa" w:w="1927"/>
          </w:tcPr>
          <w:p>
            <w:pPr>
              <w:spacing w:before="0" w:after="0"/>
              <w:ind w:firstLine="0"/>
              <w:jc w:val="left"/>
            </w:pPr>
            <w:r>
              <w:rPr>
                <w:rFonts w:ascii="Times New Roman" w:hAnsi="Times New Roman"/>
                <w:sz w:val="22"/>
              </w:rPr>
              <w:t>~0.15</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Ex_cerere = E × (1–T₀/T_cerere) ≈ 4%</w:t>
            </w:r>
          </w:p>
        </w:tc>
      </w:tr>
      <w:tr>
        <w:tc>
          <w:tcPr>
            <w:tcW w:type="dxa" w:w="1927"/>
          </w:tcPr>
          <w:p>
            <w:pPr>
              <w:spacing w:before="0" w:after="0"/>
              <w:ind w:firstLine="0"/>
              <w:jc w:val="left"/>
            </w:pPr>
            <w:r>
              <w:rPr>
                <w:rFonts w:ascii="Times New Roman" w:hAnsi="Times New Roman"/>
                <w:sz w:val="22"/>
              </w:rPr>
              <w:t>Ex_distrusă prin mismatch calitativ</w:t>
            </w:r>
          </w:p>
        </w:tc>
        <w:tc>
          <w:tcPr>
            <w:tcW w:type="dxa" w:w="1927"/>
          </w:tcPr>
          <w:p>
            <w:pPr>
              <w:spacing w:before="0" w:after="0"/>
              <w:ind w:firstLine="0"/>
              <w:jc w:val="left"/>
            </w:pPr>
            <w:r>
              <w:rPr>
                <w:rFonts w:ascii="Times New Roman" w:hAnsi="Times New Roman"/>
                <w:sz w:val="22"/>
              </w:rPr>
              <w:t>~1.32</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Diferența Ex_furnizat – Ex_cerere</w:t>
            </w:r>
          </w:p>
        </w:tc>
      </w:tr>
      <w:tr>
        <w:tc>
          <w:tcPr>
            <w:tcW w:type="dxa" w:w="1927"/>
          </w:tcPr>
          <w:p>
            <w:pPr>
              <w:spacing w:before="0" w:after="0"/>
              <w:ind w:firstLine="0"/>
              <w:jc w:val="left"/>
            </w:pPr>
            <w:r>
              <w:rPr>
                <w:rFonts w:ascii="Times New Roman" w:hAnsi="Times New Roman"/>
                <w:sz w:val="22"/>
              </w:rPr>
              <w:t>φ_mismatch (fracție exergie distrusă)</w:t>
            </w:r>
          </w:p>
        </w:tc>
        <w:tc>
          <w:tcPr>
            <w:tcW w:type="dxa" w:w="1927"/>
          </w:tcPr>
          <w:p>
            <w:pPr>
              <w:spacing w:before="0" w:after="0"/>
              <w:ind w:firstLine="0"/>
              <w:jc w:val="left"/>
            </w:pPr>
            <w:r>
              <w:rPr>
                <w:rFonts w:ascii="Times New Roman" w:hAnsi="Times New Roman"/>
                <w:sz w:val="22"/>
              </w:rPr>
              <w:t>~90%</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Valoare tipică 3G rezidențial românesc</w:t>
            </w:r>
          </w:p>
        </w:tc>
      </w:tr>
      <w:tr>
        <w:tc>
          <w:tcPr>
            <w:tcW w:type="dxa" w:w="1927"/>
          </w:tcPr>
          <w:p>
            <w:pPr>
              <w:spacing w:before="0" w:after="0"/>
              <w:ind w:firstLine="0"/>
              <w:jc w:val="left"/>
            </w:pPr>
            <w:r>
              <w:rPr>
                <w:rFonts w:ascii="Times New Roman" w:hAnsi="Times New Roman"/>
                <w:sz w:val="22"/>
              </w:rPr>
              <w:t>Echivalent cost pierderi exergetice (est.)</w:t>
            </w:r>
          </w:p>
        </w:tc>
        <w:tc>
          <w:tcPr>
            <w:tcW w:type="dxa" w:w="1927"/>
          </w:tcPr>
          <w:p>
            <w:pPr>
              <w:spacing w:before="0" w:after="0"/>
              <w:ind w:firstLine="0"/>
              <w:jc w:val="left"/>
            </w:pPr>
            <w:r>
              <w:rPr>
                <w:rFonts w:ascii="Times New Roman" w:hAnsi="Times New Roman"/>
                <w:sz w:val="22"/>
              </w:rPr>
              <w:t>~660</w:t>
            </w:r>
          </w:p>
        </w:tc>
        <w:tc>
          <w:tcPr>
            <w:tcW w:type="dxa" w:w="1927"/>
          </w:tcPr>
          <w:p>
            <w:pPr>
              <w:spacing w:before="0" w:after="0"/>
              <w:ind w:firstLine="0"/>
              <w:jc w:val="left"/>
            </w:pPr>
            <w:r>
              <w:rPr>
                <w:rFonts w:ascii="Times New Roman" w:hAnsi="Times New Roman"/>
                <w:sz w:val="22"/>
              </w:rPr>
              <w:t>MEUR/an</w:t>
            </w:r>
          </w:p>
        </w:tc>
        <w:tc>
          <w:tcPr>
            <w:tcW w:type="dxa" w:w="1927"/>
          </w:tcPr>
          <w:p>
            <w:pPr>
              <w:spacing w:before="0" w:after="0"/>
              <w:ind w:firstLine="0"/>
              <w:jc w:val="left"/>
            </w:pPr>
            <w:r>
              <w:rPr>
                <w:rFonts w:ascii="Times New Roman" w:hAnsi="Times New Roman"/>
                <w:sz w:val="22"/>
              </w:rPr>
              <w:t>La 50 EUR/MWh_ex (cost oportunitate)</w:t>
            </w:r>
          </w:p>
        </w:tc>
      </w:tr>
      <w:tr>
        <w:tc>
          <w:tcPr>
            <w:tcW w:type="dxa" w:w="1927"/>
          </w:tcPr>
          <w:p>
            <w:pPr>
              <w:spacing w:before="0" w:after="0"/>
              <w:ind w:firstLine="0"/>
              <w:jc w:val="left"/>
            </w:pPr>
            <w:r>
              <w:rPr>
                <w:rFonts w:ascii="Times New Roman" w:hAnsi="Times New Roman"/>
                <w:sz w:val="22"/>
              </w:rPr>
              <w:t>Reducere posibilă prin tranziție 6G (QMF→0.9)</w:t>
            </w:r>
          </w:p>
        </w:tc>
        <w:tc>
          <w:tcPr>
            <w:tcW w:type="dxa" w:w="1927"/>
          </w:tcPr>
          <w:p>
            <w:pPr>
              <w:spacing w:before="0" w:after="0"/>
              <w:ind w:firstLine="0"/>
              <w:jc w:val="left"/>
            </w:pPr>
            <w:r>
              <w:rPr>
                <w:rFonts w:ascii="Times New Roman" w:hAnsi="Times New Roman"/>
                <w:sz w:val="22"/>
              </w:rPr>
              <w:t>~85%</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Potențial de recuperare ≈ 560 MEUR/an</w:t>
            </w:r>
          </w:p>
        </w:tc>
      </w:tr>
    </w:tbl>
    <w:p>
      <w:pPr>
        <w:ind w:firstLine="0"/>
      </w:pPr>
    </w:p>
    <w:p>
      <w:pPr>
        <w:ind w:firstLine="0"/>
      </w:pPr>
    </w:p>
    <w:p>
      <w:pPr>
        <w:pStyle w:val="ChapterHeading"/>
        <w:keepNext/>
      </w:pPr>
      <w:r>
        <w:t>6. Clasificarea Qmf și Evoluția pe Generații Dh</w:t>
      </w:r>
    </w:p>
    <w:p>
      <w:pPr>
        <w:ind w:firstLine="0"/>
      </w:pPr>
    </w:p>
    <w:p>
      <w:pPr>
        <w:pStyle w:val="SubHeading"/>
        <w:keepNext/>
      </w:pPr>
      <w:r>
        <w:t>6.1 Sistemul de clasificare qmf în 5 clase</w:t>
      </w:r>
    </w:p>
    <w:p>
      <w:pPr>
        <w:ind w:firstLine="0"/>
      </w:pPr>
    </w:p>
    <w:p>
      <w:pPr/>
      <w:r>
        <w:t>Pe baza analizei numerice din capitolele anterioare, se propune un sistem de clasificare QMF în 5 clase de performanță, analogic clasificărilor energetice (A++–G) deja familiare în practica europeană, dar bazat pe criteriul termodinamic de ordinul al doilea:</w:t>
      </w:r>
    </w:p>
    <w:p>
      <w:pPr>
        <w:ind w:firstLine="0"/>
      </w:pPr>
    </w:p>
    <w:p>
      <w:pPr>
        <w:pStyle w:val="TableCaption"/>
      </w:pPr>
      <w:r>
        <w:t>Tabel 6. Sistemul de clasificare QMF propus pentru certificarea energetică a sistemelor DH. Clasele sunt definite pe baza analizei sensitivității QMF și a practicii internaționale DH (IEA DHC 2024). Pragurile sunt calibrate pentru T₀ = 283 K și aplicații de încălzire rezidențială.</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Clasă QMF</w:t>
            </w:r>
          </w:p>
        </w:tc>
        <w:tc>
          <w:tcPr>
            <w:tcW w:type="dxa" w:w="1542"/>
          </w:tcPr>
          <w:p>
            <w:pPr>
              <w:spacing w:before="0" w:after="0"/>
              <w:ind w:firstLine="0"/>
              <w:jc w:val="left"/>
            </w:pPr>
            <w:r>
              <w:rPr>
                <w:rFonts w:ascii="Times New Roman" w:hAnsi="Times New Roman"/>
                <w:b/>
                <w:sz w:val="22"/>
              </w:rPr>
              <w:t>Interval QMF</w:t>
            </w:r>
          </w:p>
        </w:tc>
        <w:tc>
          <w:tcPr>
            <w:tcW w:type="dxa" w:w="1542"/>
          </w:tcPr>
          <w:p>
            <w:pPr>
              <w:spacing w:before="0" w:after="0"/>
              <w:ind w:firstLine="0"/>
              <w:jc w:val="left"/>
            </w:pPr>
            <w:r>
              <w:rPr>
                <w:rFonts w:ascii="Times New Roman" w:hAnsi="Times New Roman"/>
                <w:b/>
                <w:sz w:val="22"/>
              </w:rPr>
              <w:t>Apreciere</w:t>
            </w:r>
          </w:p>
        </w:tc>
        <w:tc>
          <w:tcPr>
            <w:tcW w:type="dxa" w:w="1542"/>
          </w:tcPr>
          <w:p>
            <w:pPr>
              <w:spacing w:before="0" w:after="0"/>
              <w:ind w:firstLine="0"/>
              <w:jc w:val="left"/>
            </w:pPr>
            <w:r>
              <w:rPr>
                <w:rFonts w:ascii="Times New Roman" w:hAnsi="Times New Roman"/>
                <w:b/>
                <w:sz w:val="22"/>
              </w:rPr>
              <w:t>Ex_destroyed (%)</w:t>
            </w:r>
          </w:p>
        </w:tc>
        <w:tc>
          <w:tcPr>
            <w:tcW w:type="dxa" w:w="1542"/>
          </w:tcPr>
          <w:p>
            <w:pPr>
              <w:spacing w:before="0" w:after="0"/>
              <w:ind w:firstLine="0"/>
              <w:jc w:val="left"/>
            </w:pPr>
            <w:r>
              <w:rPr>
                <w:rFonts w:ascii="Times New Roman" w:hAnsi="Times New Roman"/>
                <w:b/>
                <w:sz w:val="22"/>
              </w:rPr>
              <w:t>Recomandare / Intervenție</w:t>
            </w:r>
          </w:p>
        </w:tc>
      </w:tr>
      <w:tr>
        <w:tc>
          <w:tcPr>
            <w:tcW w:type="dxa" w:w="1542"/>
          </w:tcPr>
          <w:p>
            <w:pPr>
              <w:spacing w:before="0" w:after="0"/>
              <w:ind w:firstLine="0"/>
              <w:jc w:val="left"/>
            </w:pPr>
            <w:r>
              <w:rPr>
                <w:rFonts w:ascii="Times New Roman" w:hAnsi="Times New Roman"/>
                <w:sz w:val="22"/>
              </w:rPr>
              <w:t>QMF-5 (CRITIC)</w:t>
            </w:r>
          </w:p>
        </w:tc>
        <w:tc>
          <w:tcPr>
            <w:tcW w:type="dxa" w:w="1542"/>
          </w:tcPr>
          <w:p>
            <w:pPr>
              <w:spacing w:before="0" w:after="0"/>
              <w:ind w:firstLine="0"/>
              <w:jc w:val="left"/>
            </w:pPr>
            <w:r>
              <w:rPr>
                <w:rFonts w:ascii="Times New Roman" w:hAnsi="Times New Roman"/>
                <w:sz w:val="22"/>
              </w:rPr>
              <w:t>0.00–0.20</w:t>
            </w:r>
          </w:p>
        </w:tc>
        <w:tc>
          <w:tcPr>
            <w:tcW w:type="dxa" w:w="1542"/>
          </w:tcPr>
          <w:p>
            <w:pPr>
              <w:spacing w:before="0" w:after="0"/>
              <w:ind w:firstLine="0"/>
              <w:jc w:val="left"/>
            </w:pPr>
            <w:r>
              <w:rPr>
                <w:rFonts w:ascii="Times New Roman" w:hAnsi="Times New Roman"/>
                <w:sz w:val="22"/>
              </w:rPr>
              <w:t>Vandalism termodinamic</w:t>
            </w:r>
          </w:p>
        </w:tc>
        <w:tc>
          <w:tcPr>
            <w:tcW w:type="dxa" w:w="1542"/>
          </w:tcPr>
          <w:p>
            <w:pPr>
              <w:spacing w:before="0" w:after="0"/>
              <w:ind w:firstLine="0"/>
              <w:jc w:val="left"/>
            </w:pPr>
            <w:r>
              <w:rPr>
                <w:rFonts w:ascii="Times New Roman" w:hAnsi="Times New Roman"/>
                <w:sz w:val="22"/>
              </w:rPr>
              <w:t>80–100%</w:t>
            </w:r>
          </w:p>
        </w:tc>
        <w:tc>
          <w:tcPr>
            <w:tcW w:type="dxa" w:w="1542"/>
          </w:tcPr>
          <w:p>
            <w:pPr>
              <w:spacing w:before="0" w:after="0"/>
              <w:ind w:firstLine="0"/>
              <w:jc w:val="left"/>
            </w:pPr>
            <w:r>
              <w:rPr>
                <w:rFonts w:ascii="Times New Roman" w:hAnsi="Times New Roman"/>
                <w:sz w:val="22"/>
              </w:rPr>
              <w:t>Intervenție imediată; reconfigurare sursă; pompă căldură obligatorie</w:t>
            </w:r>
          </w:p>
        </w:tc>
      </w:tr>
      <w:tr>
        <w:tc>
          <w:tcPr>
            <w:tcW w:type="dxa" w:w="1542"/>
          </w:tcPr>
          <w:p>
            <w:pPr>
              <w:spacing w:before="0" w:after="0"/>
              <w:ind w:firstLine="0"/>
              <w:jc w:val="left"/>
            </w:pPr>
            <w:r>
              <w:rPr>
                <w:rFonts w:ascii="Times New Roman" w:hAnsi="Times New Roman"/>
                <w:sz w:val="22"/>
              </w:rPr>
              <w:t>QMF-4 (SEVER)</w:t>
            </w:r>
          </w:p>
        </w:tc>
        <w:tc>
          <w:tcPr>
            <w:tcW w:type="dxa" w:w="1542"/>
          </w:tcPr>
          <w:p>
            <w:pPr>
              <w:spacing w:before="0" w:after="0"/>
              <w:ind w:firstLine="0"/>
              <w:jc w:val="left"/>
            </w:pPr>
            <w:r>
              <w:rPr>
                <w:rFonts w:ascii="Times New Roman" w:hAnsi="Times New Roman"/>
                <w:sz w:val="22"/>
              </w:rPr>
              <w:t>0.21–0.40</w:t>
            </w:r>
          </w:p>
        </w:tc>
        <w:tc>
          <w:tcPr>
            <w:tcW w:type="dxa" w:w="1542"/>
          </w:tcPr>
          <w:p>
            <w:pPr>
              <w:spacing w:before="0" w:after="0"/>
              <w:ind w:firstLine="0"/>
              <w:jc w:val="left"/>
            </w:pPr>
            <w:r>
              <w:rPr>
                <w:rFonts w:ascii="Times New Roman" w:hAnsi="Times New Roman"/>
                <w:sz w:val="22"/>
              </w:rPr>
              <w:t>Mismatch sever</w:t>
            </w:r>
          </w:p>
        </w:tc>
        <w:tc>
          <w:tcPr>
            <w:tcW w:type="dxa" w:w="1542"/>
          </w:tcPr>
          <w:p>
            <w:pPr>
              <w:spacing w:before="0" w:after="0"/>
              <w:ind w:firstLine="0"/>
              <w:jc w:val="left"/>
            </w:pPr>
            <w:r>
              <w:rPr>
                <w:rFonts w:ascii="Times New Roman" w:hAnsi="Times New Roman"/>
                <w:sz w:val="22"/>
              </w:rPr>
              <w:t>60–79%</w:t>
            </w:r>
          </w:p>
        </w:tc>
        <w:tc>
          <w:tcPr>
            <w:tcW w:type="dxa" w:w="1542"/>
          </w:tcPr>
          <w:p>
            <w:pPr>
              <w:spacing w:before="0" w:after="0"/>
              <w:ind w:firstLine="0"/>
              <w:jc w:val="left"/>
            </w:pPr>
            <w:r>
              <w:rPr>
                <w:rFonts w:ascii="Times New Roman" w:hAnsi="Times New Roman"/>
                <w:sz w:val="22"/>
              </w:rPr>
              <w:t>Remodelare rețea; reducere temperaturi; integrare surse joasă-T</w:t>
            </w:r>
          </w:p>
        </w:tc>
      </w:tr>
      <w:tr>
        <w:tc>
          <w:tcPr>
            <w:tcW w:type="dxa" w:w="1542"/>
          </w:tcPr>
          <w:p>
            <w:pPr>
              <w:spacing w:before="0" w:after="0"/>
              <w:ind w:firstLine="0"/>
              <w:jc w:val="left"/>
            </w:pPr>
            <w:r>
              <w:rPr>
                <w:rFonts w:ascii="Times New Roman" w:hAnsi="Times New Roman"/>
                <w:sz w:val="22"/>
              </w:rPr>
              <w:t>QMF-3 (MODERAT)</w:t>
            </w:r>
          </w:p>
        </w:tc>
        <w:tc>
          <w:tcPr>
            <w:tcW w:type="dxa" w:w="1542"/>
          </w:tcPr>
          <w:p>
            <w:pPr>
              <w:spacing w:before="0" w:after="0"/>
              <w:ind w:firstLine="0"/>
              <w:jc w:val="left"/>
            </w:pPr>
            <w:r>
              <w:rPr>
                <w:rFonts w:ascii="Times New Roman" w:hAnsi="Times New Roman"/>
                <w:sz w:val="22"/>
              </w:rPr>
              <w:t>0.41–0.60</w:t>
            </w:r>
          </w:p>
        </w:tc>
        <w:tc>
          <w:tcPr>
            <w:tcW w:type="dxa" w:w="1542"/>
          </w:tcPr>
          <w:p>
            <w:pPr>
              <w:spacing w:before="0" w:after="0"/>
              <w:ind w:firstLine="0"/>
              <w:jc w:val="left"/>
            </w:pPr>
            <w:r>
              <w:rPr>
                <w:rFonts w:ascii="Times New Roman" w:hAnsi="Times New Roman"/>
                <w:sz w:val="22"/>
              </w:rPr>
              <w:t>Mismatch parțial</w:t>
            </w:r>
          </w:p>
        </w:tc>
        <w:tc>
          <w:tcPr>
            <w:tcW w:type="dxa" w:w="1542"/>
          </w:tcPr>
          <w:p>
            <w:pPr>
              <w:spacing w:before="0" w:after="0"/>
              <w:ind w:firstLine="0"/>
              <w:jc w:val="left"/>
            </w:pPr>
            <w:r>
              <w:rPr>
                <w:rFonts w:ascii="Times New Roman" w:hAnsi="Times New Roman"/>
                <w:sz w:val="22"/>
              </w:rPr>
              <w:t>40–59%</w:t>
            </w:r>
          </w:p>
        </w:tc>
        <w:tc>
          <w:tcPr>
            <w:tcW w:type="dxa" w:w="1542"/>
          </w:tcPr>
          <w:p>
            <w:pPr>
              <w:spacing w:before="0" w:after="0"/>
              <w:ind w:firstLine="0"/>
              <w:jc w:val="left"/>
            </w:pPr>
            <w:r>
              <w:rPr>
                <w:rFonts w:ascii="Times New Roman" w:hAnsi="Times New Roman"/>
                <w:sz w:val="22"/>
              </w:rPr>
              <w:t>Optimizare operațională; setpoint sezonier; EMS AI</w:t>
            </w:r>
          </w:p>
        </w:tc>
      </w:tr>
      <w:tr>
        <w:tc>
          <w:tcPr>
            <w:tcW w:type="dxa" w:w="1542"/>
          </w:tcPr>
          <w:p>
            <w:pPr>
              <w:spacing w:before="0" w:after="0"/>
              <w:ind w:firstLine="0"/>
              <w:jc w:val="left"/>
            </w:pPr>
            <w:r>
              <w:rPr>
                <w:rFonts w:ascii="Times New Roman" w:hAnsi="Times New Roman"/>
                <w:sz w:val="22"/>
              </w:rPr>
              <w:t>QMF-2 (BUN)</w:t>
            </w:r>
          </w:p>
        </w:tc>
        <w:tc>
          <w:tcPr>
            <w:tcW w:type="dxa" w:w="1542"/>
          </w:tcPr>
          <w:p>
            <w:pPr>
              <w:spacing w:before="0" w:after="0"/>
              <w:ind w:firstLine="0"/>
              <w:jc w:val="left"/>
            </w:pPr>
            <w:r>
              <w:rPr>
                <w:rFonts w:ascii="Times New Roman" w:hAnsi="Times New Roman"/>
                <w:sz w:val="22"/>
              </w:rPr>
              <w:t>0.61–0.80</w:t>
            </w:r>
          </w:p>
        </w:tc>
        <w:tc>
          <w:tcPr>
            <w:tcW w:type="dxa" w:w="1542"/>
          </w:tcPr>
          <w:p>
            <w:pPr>
              <w:spacing w:before="0" w:after="0"/>
              <w:ind w:firstLine="0"/>
              <w:jc w:val="left"/>
            </w:pPr>
            <w:r>
              <w:rPr>
                <w:rFonts w:ascii="Times New Roman" w:hAnsi="Times New Roman"/>
                <w:sz w:val="22"/>
              </w:rPr>
              <w:t>Aproape optim</w:t>
            </w:r>
          </w:p>
        </w:tc>
        <w:tc>
          <w:tcPr>
            <w:tcW w:type="dxa" w:w="1542"/>
          </w:tcPr>
          <w:p>
            <w:pPr>
              <w:spacing w:before="0" w:after="0"/>
              <w:ind w:firstLine="0"/>
              <w:jc w:val="left"/>
            </w:pPr>
            <w:r>
              <w:rPr>
                <w:rFonts w:ascii="Times New Roman" w:hAnsi="Times New Roman"/>
                <w:sz w:val="22"/>
              </w:rPr>
              <w:t>20–39%</w:t>
            </w:r>
          </w:p>
        </w:tc>
        <w:tc>
          <w:tcPr>
            <w:tcW w:type="dxa" w:w="1542"/>
          </w:tcPr>
          <w:p>
            <w:pPr>
              <w:spacing w:before="0" w:after="0"/>
              <w:ind w:firstLine="0"/>
              <w:jc w:val="left"/>
            </w:pPr>
            <w:r>
              <w:rPr>
                <w:rFonts w:ascii="Times New Roman" w:hAnsi="Times New Roman"/>
                <w:sz w:val="22"/>
              </w:rPr>
              <w:t>Reglaj fin; monitorizare continuă; upgrade sisteme emisie</w:t>
            </w:r>
          </w:p>
        </w:tc>
      </w:tr>
      <w:tr>
        <w:tc>
          <w:tcPr>
            <w:tcW w:type="dxa" w:w="1542"/>
          </w:tcPr>
          <w:p>
            <w:pPr>
              <w:spacing w:before="0" w:after="0"/>
              <w:ind w:firstLine="0"/>
              <w:jc w:val="left"/>
            </w:pPr>
            <w:r>
              <w:rPr>
                <w:rFonts w:ascii="Times New Roman" w:hAnsi="Times New Roman"/>
                <w:sz w:val="22"/>
              </w:rPr>
              <w:t>QMF-1 (OPTIM)</w:t>
            </w:r>
          </w:p>
        </w:tc>
        <w:tc>
          <w:tcPr>
            <w:tcW w:type="dxa" w:w="1542"/>
          </w:tcPr>
          <w:p>
            <w:pPr>
              <w:spacing w:before="0" w:after="0"/>
              <w:ind w:firstLine="0"/>
              <w:jc w:val="left"/>
            </w:pPr>
            <w:r>
              <w:rPr>
                <w:rFonts w:ascii="Times New Roman" w:hAnsi="Times New Roman"/>
                <w:sz w:val="22"/>
              </w:rPr>
              <w:t>0.81–1.00</w:t>
            </w:r>
          </w:p>
        </w:tc>
        <w:tc>
          <w:tcPr>
            <w:tcW w:type="dxa" w:w="1542"/>
          </w:tcPr>
          <w:p>
            <w:pPr>
              <w:spacing w:before="0" w:after="0"/>
              <w:ind w:firstLine="0"/>
              <w:jc w:val="left"/>
            </w:pPr>
            <w:r>
              <w:rPr>
                <w:rFonts w:ascii="Times New Roman" w:hAnsi="Times New Roman"/>
                <w:sz w:val="22"/>
              </w:rPr>
              <w:t>Quality Matching complet</w:t>
            </w:r>
          </w:p>
        </w:tc>
        <w:tc>
          <w:tcPr>
            <w:tcW w:type="dxa" w:w="1542"/>
          </w:tcPr>
          <w:p>
            <w:pPr>
              <w:spacing w:before="0" w:after="0"/>
              <w:ind w:firstLine="0"/>
              <w:jc w:val="left"/>
            </w:pPr>
            <w:r>
              <w:rPr>
                <w:rFonts w:ascii="Times New Roman" w:hAnsi="Times New Roman"/>
                <w:sz w:val="22"/>
              </w:rPr>
              <w:t>&lt; 20%</w:t>
            </w:r>
          </w:p>
        </w:tc>
        <w:tc>
          <w:tcPr>
            <w:tcW w:type="dxa" w:w="1542"/>
          </w:tcPr>
          <w:p>
            <w:pPr>
              <w:spacing w:before="0" w:after="0"/>
              <w:ind w:firstLine="0"/>
              <w:jc w:val="left"/>
            </w:pPr>
            <w:r>
              <w:rPr>
                <w:rFonts w:ascii="Times New Roman" w:hAnsi="Times New Roman"/>
                <w:sz w:val="22"/>
              </w:rPr>
              <w:t>Sistem de referință; cascadă exergetică completă implementată</w:t>
            </w:r>
          </w:p>
        </w:tc>
      </w:tr>
      <w:tr>
        <w:tc>
          <w:tcPr>
            <w:tcW w:type="dxa" w:w="1542"/>
          </w:tcPr>
          <w:p>
            <w:pPr>
              <w:spacing w:before="0" w:after="0"/>
              <w:ind w:firstLine="0"/>
              <w:jc w:val="left"/>
            </w:pPr>
            <w:r>
              <w:rPr>
                <w:rFonts w:ascii="Times New Roman" w:hAnsi="Times New Roman"/>
                <w:sz w:val="22"/>
              </w:rPr>
              <w:t>QMF &gt; 1.00</w:t>
            </w:r>
          </w:p>
        </w:tc>
        <w:tc>
          <w:tcPr>
            <w:tcW w:type="dxa" w:w="1542"/>
          </w:tcPr>
          <w:p>
            <w:pPr>
              <w:spacing w:before="0" w:after="0"/>
              <w:ind w:firstLine="0"/>
              <w:jc w:val="left"/>
            </w:pPr>
            <w:r>
              <w:rPr>
                <w:rFonts w:ascii="Times New Roman" w:hAnsi="Times New Roman"/>
                <w:sz w:val="22"/>
              </w:rPr>
              <w:t>&gt;1.00</w:t>
            </w:r>
          </w:p>
        </w:tc>
        <w:tc>
          <w:tcPr>
            <w:tcW w:type="dxa" w:w="1542"/>
          </w:tcPr>
          <w:p>
            <w:pPr>
              <w:spacing w:before="0" w:after="0"/>
              <w:ind w:firstLine="0"/>
              <w:jc w:val="left"/>
            </w:pPr>
            <w:r>
              <w:rPr>
                <w:rFonts w:ascii="Times New Roman" w:hAnsi="Times New Roman"/>
                <w:sz w:val="22"/>
              </w:rPr>
              <w:t>Supra-calitate</w:t>
            </w:r>
          </w:p>
        </w:tc>
        <w:tc>
          <w:tcPr>
            <w:tcW w:type="dxa" w:w="1542"/>
          </w:tcPr>
          <w:p>
            <w:pPr>
              <w:spacing w:before="0" w:after="0"/>
              <w:ind w:firstLine="0"/>
              <w:jc w:val="left"/>
            </w:pPr>
            <w:r>
              <w:rPr>
                <w:rFonts w:ascii="Times New Roman" w:hAnsi="Times New Roman"/>
                <w:sz w:val="22"/>
              </w:rPr>
              <w:t>&lt; 10%</w:t>
            </w:r>
          </w:p>
        </w:tc>
        <w:tc>
          <w:tcPr>
            <w:tcW w:type="dxa" w:w="1542"/>
          </w:tcPr>
          <w:p>
            <w:pPr>
              <w:spacing w:before="0" w:after="0"/>
              <w:ind w:firstLine="0"/>
              <w:jc w:val="left"/>
            </w:pPr>
            <w:r>
              <w:rPr>
                <w:rFonts w:ascii="Times New Roman" w:hAnsi="Times New Roman"/>
                <w:sz w:val="22"/>
              </w:rPr>
              <w:t>CHP eficient; sursă mai nobilă decât cerința — posibil cascadare</w:t>
            </w:r>
          </w:p>
        </w:tc>
      </w:tr>
    </w:tbl>
    <w:p>
      <w:pPr>
        <w:ind w:firstLine="0"/>
      </w:pPr>
    </w:p>
    <w:p>
      <w:pPr/>
      <w:r>
        <w:t>Sistemul de clasificare QMF oferă un instrument practic imediat aplicabil: un operator DH poate calcula QMF pentru fiecare racord de consumator și poate identifica prioritățile de intervenție pentru reducerea mismatch-ului exergetic. Cumularea QMF individuali la nivel de rețea produce QMF_G (echivalent η_ex,sistem), permițând benchmarking la nivel de sistem.</w:t>
      </w:r>
    </w:p>
    <w:p>
      <w:pPr>
        <w:ind w:firstLine="0"/>
      </w:pPr>
    </w:p>
    <w:p>
      <w:pPr>
        <w:pStyle w:val="SubHeading"/>
        <w:keepNext/>
      </w:pPr>
      <w:r>
        <w:t>6.2 Evoluția qmf și a pierderilor exergetice pe generații dh</w:t>
      </w:r>
    </w:p>
    <w:p>
      <w:pPr>
        <w:ind w:firstLine="0"/>
      </w:pPr>
    </w:p>
    <w:p>
      <w:pPr/>
      <w:r>
        <w:t>Tabelul 7 sintetizează evoluția indicatorilor exergetici și a QMF pe generații DH, demonstrând corelația directă dintre avansul tehnologic și îmbunătățirea Quality Matching:</w:t>
      </w:r>
    </w:p>
    <w:p>
      <w:pPr>
        <w:ind w:firstLine="0"/>
      </w:pPr>
    </w:p>
    <w:p>
      <w:pPr>
        <w:pStyle w:val="TableCaption"/>
      </w:pPr>
      <w:r>
        <w:t>Tabel 7. Evoluția QMF și a indicatorilor exergetici pe generații DH. Valorile QMF sunt calculate pentru aplicații de încălzire rezidențială (T_cerere ~35°C) față de temperatura de furnizare tipică a fiecărei generații, la T₀ = 283 K. Generațiile 6G și 7G reprezintă propuneri originale (EnEx Institute 2025).</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Indicator</w:t>
            </w:r>
          </w:p>
        </w:tc>
        <w:tc>
          <w:tcPr>
            <w:tcW w:type="dxa" w:w="964"/>
          </w:tcPr>
          <w:p>
            <w:pPr>
              <w:spacing w:before="0" w:after="0"/>
              <w:ind w:firstLine="0"/>
              <w:jc w:val="left"/>
            </w:pPr>
            <w:r>
              <w:rPr>
                <w:rFonts w:ascii="Times New Roman" w:hAnsi="Times New Roman"/>
                <w:b/>
                <w:sz w:val="22"/>
              </w:rPr>
              <w:t>1G</w:t>
            </w:r>
          </w:p>
        </w:tc>
        <w:tc>
          <w:tcPr>
            <w:tcW w:type="dxa" w:w="964"/>
          </w:tcPr>
          <w:p>
            <w:pPr>
              <w:spacing w:before="0" w:after="0"/>
              <w:ind w:firstLine="0"/>
              <w:jc w:val="left"/>
            </w:pPr>
            <w:r>
              <w:rPr>
                <w:rFonts w:ascii="Times New Roman" w:hAnsi="Times New Roman"/>
                <w:b/>
                <w:sz w:val="22"/>
              </w:rPr>
              <w:t>2G</w:t>
            </w:r>
          </w:p>
        </w:tc>
        <w:tc>
          <w:tcPr>
            <w:tcW w:type="dxa" w:w="964"/>
          </w:tcPr>
          <w:p>
            <w:pPr>
              <w:spacing w:before="0" w:after="0"/>
              <w:ind w:firstLine="0"/>
              <w:jc w:val="left"/>
            </w:pPr>
            <w:r>
              <w:rPr>
                <w:rFonts w:ascii="Times New Roman" w:hAnsi="Times New Roman"/>
                <w:b/>
                <w:sz w:val="22"/>
              </w:rPr>
              <w:t>3G</w:t>
            </w:r>
          </w:p>
        </w:tc>
        <w:tc>
          <w:tcPr>
            <w:tcW w:type="dxa" w:w="964"/>
          </w:tcPr>
          <w:p>
            <w:pPr>
              <w:spacing w:before="0" w:after="0"/>
              <w:ind w:firstLine="0"/>
              <w:jc w:val="left"/>
            </w:pPr>
            <w:r>
              <w:rPr>
                <w:rFonts w:ascii="Times New Roman" w:hAnsi="Times New Roman"/>
                <w:b/>
                <w:sz w:val="22"/>
              </w:rPr>
              <w:t>4G</w:t>
            </w:r>
          </w:p>
        </w:tc>
        <w:tc>
          <w:tcPr>
            <w:tcW w:type="dxa" w:w="964"/>
          </w:tcPr>
          <w:p>
            <w:pPr>
              <w:spacing w:before="0" w:after="0"/>
              <w:ind w:firstLine="0"/>
              <w:jc w:val="left"/>
            </w:pPr>
            <w:r>
              <w:rPr>
                <w:rFonts w:ascii="Times New Roman" w:hAnsi="Times New Roman"/>
                <w:b/>
                <w:sz w:val="22"/>
              </w:rPr>
              <w:t>5G/TSN</w:t>
            </w:r>
          </w:p>
        </w:tc>
        <w:tc>
          <w:tcPr>
            <w:tcW w:type="dxa" w:w="964"/>
          </w:tcPr>
          <w:p>
            <w:pPr>
              <w:spacing w:before="0" w:after="0"/>
              <w:ind w:firstLine="0"/>
              <w:jc w:val="left"/>
            </w:pPr>
            <w:r>
              <w:rPr>
                <w:rFonts w:ascii="Times New Roman" w:hAnsi="Times New Roman"/>
                <w:b/>
                <w:sz w:val="22"/>
              </w:rPr>
              <w:t>6G DES</w:t>
            </w:r>
          </w:p>
        </w:tc>
        <w:tc>
          <w:tcPr>
            <w:tcW w:type="dxa" w:w="964"/>
          </w:tcPr>
          <w:p>
            <w:pPr>
              <w:spacing w:before="0" w:after="0"/>
              <w:ind w:firstLine="0"/>
              <w:jc w:val="left"/>
            </w:pPr>
            <w:r>
              <w:rPr>
                <w:rFonts w:ascii="Times New Roman" w:hAnsi="Times New Roman"/>
                <w:b/>
                <w:sz w:val="22"/>
              </w:rPr>
              <w:t>7G RDEM</w:t>
            </w:r>
          </w:p>
        </w:tc>
      </w:tr>
      <w:tr>
        <w:tc>
          <w:tcPr>
            <w:tcW w:type="dxa" w:w="964"/>
          </w:tcPr>
          <w:p>
            <w:pPr>
              <w:spacing w:before="0" w:after="0"/>
              <w:ind w:firstLine="0"/>
              <w:jc w:val="left"/>
            </w:pPr>
            <w:r>
              <w:rPr>
                <w:rFonts w:ascii="Times New Roman" w:hAnsi="Times New Roman"/>
                <w:sz w:val="22"/>
              </w:rPr>
              <w:t>T furnizare (°C)</w:t>
            </w:r>
          </w:p>
        </w:tc>
        <w:tc>
          <w:tcPr>
            <w:tcW w:type="dxa" w:w="964"/>
          </w:tcPr>
          <w:p>
            <w:pPr>
              <w:spacing w:before="0" w:after="0"/>
              <w:ind w:firstLine="0"/>
              <w:jc w:val="left"/>
            </w:pPr>
            <w:r>
              <w:rPr>
                <w:rFonts w:ascii="Times New Roman" w:hAnsi="Times New Roman"/>
                <w:sz w:val="22"/>
              </w:rPr>
              <w:t>&gt;200</w:t>
            </w:r>
          </w:p>
        </w:tc>
        <w:tc>
          <w:tcPr>
            <w:tcW w:type="dxa" w:w="964"/>
          </w:tcPr>
          <w:p>
            <w:pPr>
              <w:spacing w:before="0" w:after="0"/>
              <w:ind w:firstLine="0"/>
              <w:jc w:val="left"/>
            </w:pPr>
            <w:r>
              <w:rPr>
                <w:rFonts w:ascii="Times New Roman" w:hAnsi="Times New Roman"/>
                <w:sz w:val="22"/>
              </w:rPr>
              <w:t>&gt;100</w:t>
            </w:r>
          </w:p>
        </w:tc>
        <w:tc>
          <w:tcPr>
            <w:tcW w:type="dxa" w:w="964"/>
          </w:tcPr>
          <w:p>
            <w:pPr>
              <w:spacing w:before="0" w:after="0"/>
              <w:ind w:firstLine="0"/>
              <w:jc w:val="left"/>
            </w:pPr>
            <w:r>
              <w:rPr>
                <w:rFonts w:ascii="Times New Roman" w:hAnsi="Times New Roman"/>
                <w:sz w:val="22"/>
              </w:rPr>
              <w:t>80–100</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10–30</w:t>
            </w:r>
          </w:p>
        </w:tc>
        <w:tc>
          <w:tcPr>
            <w:tcW w:type="dxa" w:w="964"/>
          </w:tcPr>
          <w:p>
            <w:pPr>
              <w:spacing w:before="0" w:after="0"/>
              <w:ind w:firstLine="0"/>
              <w:jc w:val="left"/>
            </w:pPr>
            <w:r>
              <w:rPr>
                <w:rFonts w:ascii="Times New Roman" w:hAnsi="Times New Roman"/>
                <w:sz w:val="22"/>
              </w:rPr>
              <w:t>30–90 casc.</w:t>
            </w:r>
          </w:p>
        </w:tc>
        <w:tc>
          <w:tcPr>
            <w:tcW w:type="dxa" w:w="964"/>
          </w:tcPr>
          <w:p>
            <w:pPr>
              <w:spacing w:before="0" w:after="0"/>
              <w:ind w:firstLine="0"/>
              <w:jc w:val="left"/>
            </w:pPr>
            <w:r>
              <w:rPr>
                <w:rFonts w:ascii="Times New Roman" w:hAnsi="Times New Roman"/>
                <w:sz w:val="22"/>
              </w:rPr>
              <w:t>Local optim.</w:t>
            </w:r>
          </w:p>
        </w:tc>
      </w:tr>
      <w:tr>
        <w:tc>
          <w:tcPr>
            <w:tcW w:type="dxa" w:w="964"/>
          </w:tcPr>
          <w:p>
            <w:pPr>
              <w:spacing w:before="0" w:after="0"/>
              <w:ind w:firstLine="0"/>
              <w:jc w:val="left"/>
            </w:pPr>
            <w:r>
              <w:rPr>
                <w:rFonts w:ascii="Times New Roman" w:hAnsi="Times New Roman"/>
                <w:sz w:val="22"/>
              </w:rPr>
              <w:t>T cerere tipică (°C)</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20–25</w:t>
            </w:r>
          </w:p>
        </w:tc>
        <w:tc>
          <w:tcPr>
            <w:tcW w:type="dxa" w:w="964"/>
          </w:tcPr>
          <w:p>
            <w:pPr>
              <w:spacing w:before="0" w:after="0"/>
              <w:ind w:firstLine="0"/>
              <w:jc w:val="left"/>
            </w:pPr>
            <w:r>
              <w:rPr>
                <w:rFonts w:ascii="Times New Roman" w:hAnsi="Times New Roman"/>
                <w:sz w:val="22"/>
              </w:rPr>
              <w:t>20–50 multitip</w:t>
            </w:r>
          </w:p>
        </w:tc>
        <w:tc>
          <w:tcPr>
            <w:tcW w:type="dxa" w:w="964"/>
          </w:tcPr>
          <w:p>
            <w:pPr>
              <w:spacing w:before="0" w:after="0"/>
              <w:ind w:firstLine="0"/>
              <w:jc w:val="left"/>
            </w:pPr>
            <w:r>
              <w:rPr>
                <w:rFonts w:ascii="Times New Roman" w:hAnsi="Times New Roman"/>
                <w:sz w:val="22"/>
              </w:rPr>
              <w:t>20–50 multitip</w:t>
            </w:r>
          </w:p>
        </w:tc>
      </w:tr>
      <w:tr>
        <w:tc>
          <w:tcPr>
            <w:tcW w:type="dxa" w:w="964"/>
          </w:tcPr>
          <w:p>
            <w:pPr>
              <w:spacing w:before="0" w:after="0"/>
              <w:ind w:firstLine="0"/>
              <w:jc w:val="left"/>
            </w:pPr>
            <w:r>
              <w:rPr>
                <w:rFonts w:ascii="Times New Roman" w:hAnsi="Times New Roman"/>
                <w:sz w:val="22"/>
              </w:rPr>
              <w:t>Ex_furnizat (%)</w:t>
            </w:r>
          </w:p>
        </w:tc>
        <w:tc>
          <w:tcPr>
            <w:tcW w:type="dxa" w:w="964"/>
          </w:tcPr>
          <w:p>
            <w:pPr>
              <w:spacing w:before="0" w:after="0"/>
              <w:ind w:firstLine="0"/>
              <w:jc w:val="left"/>
            </w:pPr>
            <w:r>
              <w:rPr>
                <w:rFonts w:ascii="Times New Roman" w:hAnsi="Times New Roman"/>
                <w:sz w:val="22"/>
              </w:rPr>
              <w:t>35–55%</w:t>
            </w:r>
          </w:p>
        </w:tc>
        <w:tc>
          <w:tcPr>
            <w:tcW w:type="dxa" w:w="964"/>
          </w:tcPr>
          <w:p>
            <w:pPr>
              <w:spacing w:before="0" w:after="0"/>
              <w:ind w:firstLine="0"/>
              <w:jc w:val="left"/>
            </w:pPr>
            <w:r>
              <w:rPr>
                <w:rFonts w:ascii="Times New Roman" w:hAnsi="Times New Roman"/>
                <w:sz w:val="22"/>
              </w:rPr>
              <w:t>20–30%</w:t>
            </w:r>
          </w:p>
        </w:tc>
        <w:tc>
          <w:tcPr>
            <w:tcW w:type="dxa" w:w="964"/>
          </w:tcPr>
          <w:p>
            <w:pPr>
              <w:spacing w:before="0" w:after="0"/>
              <w:ind w:firstLine="0"/>
              <w:jc w:val="left"/>
            </w:pPr>
            <w:r>
              <w:rPr>
                <w:rFonts w:ascii="Times New Roman" w:hAnsi="Times New Roman"/>
                <w:sz w:val="22"/>
              </w:rPr>
              <w:t>15–20%</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0–3%</w:t>
            </w:r>
          </w:p>
        </w:tc>
        <w:tc>
          <w:tcPr>
            <w:tcW w:type="dxa" w:w="964"/>
          </w:tcPr>
          <w:p>
            <w:pPr>
              <w:spacing w:before="0" w:after="0"/>
              <w:ind w:firstLine="0"/>
              <w:jc w:val="left"/>
            </w:pPr>
            <w:r>
              <w:rPr>
                <w:rFonts w:ascii="Times New Roman" w:hAnsi="Times New Roman"/>
                <w:sz w:val="22"/>
              </w:rPr>
              <w:t>4–20% (casc.)</w:t>
            </w:r>
          </w:p>
        </w:tc>
        <w:tc>
          <w:tcPr>
            <w:tcW w:type="dxa" w:w="964"/>
          </w:tcPr>
          <w:p>
            <w:pPr>
              <w:spacing w:before="0" w:after="0"/>
              <w:ind w:firstLine="0"/>
              <w:jc w:val="left"/>
            </w:pPr>
            <w:r>
              <w:rPr>
                <w:rFonts w:ascii="Times New Roman" w:hAnsi="Times New Roman"/>
                <w:sz w:val="22"/>
              </w:rPr>
              <w:t>4–20% (casc.)</w:t>
            </w:r>
          </w:p>
        </w:tc>
      </w:tr>
      <w:tr>
        <w:tc>
          <w:tcPr>
            <w:tcW w:type="dxa" w:w="964"/>
          </w:tcPr>
          <w:p>
            <w:pPr>
              <w:spacing w:before="0" w:after="0"/>
              <w:ind w:firstLine="0"/>
              <w:jc w:val="left"/>
            </w:pPr>
            <w:r>
              <w:rPr>
                <w:rFonts w:ascii="Times New Roman" w:hAnsi="Times New Roman"/>
                <w:sz w:val="22"/>
              </w:rPr>
              <w:t>Ex_cerere (%)</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2–20% (QM)</w:t>
            </w:r>
          </w:p>
        </w:tc>
        <w:tc>
          <w:tcPr>
            <w:tcW w:type="dxa" w:w="964"/>
          </w:tcPr>
          <w:p>
            <w:pPr>
              <w:spacing w:before="0" w:after="0"/>
              <w:ind w:firstLine="0"/>
              <w:jc w:val="left"/>
            </w:pPr>
            <w:r>
              <w:rPr>
                <w:rFonts w:ascii="Times New Roman" w:hAnsi="Times New Roman"/>
                <w:sz w:val="22"/>
              </w:rPr>
              <w:t>2–20% (QM)</w:t>
            </w:r>
          </w:p>
        </w:tc>
      </w:tr>
      <w:tr>
        <w:tc>
          <w:tcPr>
            <w:tcW w:type="dxa" w:w="964"/>
          </w:tcPr>
          <w:p>
            <w:pPr>
              <w:spacing w:before="0" w:after="0"/>
              <w:ind w:firstLine="0"/>
              <w:jc w:val="left"/>
            </w:pPr>
            <w:r>
              <w:rPr>
                <w:rFonts w:ascii="Times New Roman" w:hAnsi="Times New Roman"/>
                <w:sz w:val="22"/>
              </w:rPr>
              <w:t>QM Factor (QMF)</w:t>
            </w:r>
          </w:p>
        </w:tc>
        <w:tc>
          <w:tcPr>
            <w:tcW w:type="dxa" w:w="964"/>
          </w:tcPr>
          <w:p>
            <w:pPr>
              <w:spacing w:before="0" w:after="0"/>
              <w:ind w:firstLine="0"/>
              <w:jc w:val="left"/>
            </w:pPr>
            <w:r>
              <w:rPr>
                <w:rFonts w:ascii="Times New Roman" w:hAnsi="Times New Roman"/>
                <w:sz w:val="22"/>
              </w:rPr>
              <w:t>0.04–0.11</w:t>
            </w:r>
          </w:p>
        </w:tc>
        <w:tc>
          <w:tcPr>
            <w:tcW w:type="dxa" w:w="964"/>
          </w:tcPr>
          <w:p>
            <w:pPr>
              <w:spacing w:before="0" w:after="0"/>
              <w:ind w:firstLine="0"/>
              <w:jc w:val="left"/>
            </w:pPr>
            <w:r>
              <w:rPr>
                <w:rFonts w:ascii="Times New Roman" w:hAnsi="Times New Roman"/>
                <w:sz w:val="22"/>
              </w:rPr>
              <w:t>0.07–0.20</w:t>
            </w:r>
          </w:p>
        </w:tc>
        <w:tc>
          <w:tcPr>
            <w:tcW w:type="dxa" w:w="964"/>
          </w:tcPr>
          <w:p>
            <w:pPr>
              <w:spacing w:before="0" w:after="0"/>
              <w:ind w:firstLine="0"/>
              <w:jc w:val="left"/>
            </w:pPr>
            <w:r>
              <w:rPr>
                <w:rFonts w:ascii="Times New Roman" w:hAnsi="Times New Roman"/>
                <w:sz w:val="22"/>
              </w:rPr>
              <w:t>0.10–0.27</w:t>
            </w:r>
          </w:p>
        </w:tc>
        <w:tc>
          <w:tcPr>
            <w:tcW w:type="dxa" w:w="964"/>
          </w:tcPr>
          <w:p>
            <w:pPr>
              <w:spacing w:before="0" w:after="0"/>
              <w:ind w:firstLine="0"/>
              <w:jc w:val="left"/>
            </w:pPr>
            <w:r>
              <w:rPr>
                <w:rFonts w:ascii="Times New Roman" w:hAnsi="Times New Roman"/>
                <w:sz w:val="22"/>
              </w:rPr>
              <w:t>0.13–0.63</w:t>
            </w:r>
          </w:p>
        </w:tc>
        <w:tc>
          <w:tcPr>
            <w:tcW w:type="dxa" w:w="964"/>
          </w:tcPr>
          <w:p>
            <w:pPr>
              <w:spacing w:before="0" w:after="0"/>
              <w:ind w:firstLine="0"/>
              <w:jc w:val="left"/>
            </w:pPr>
            <w:r>
              <w:rPr>
                <w:rFonts w:ascii="Times New Roman" w:hAnsi="Times New Roman"/>
                <w:sz w:val="22"/>
              </w:rPr>
              <w:t>0.67–1.00</w:t>
            </w:r>
          </w:p>
        </w:tc>
        <w:tc>
          <w:tcPr>
            <w:tcW w:type="dxa" w:w="964"/>
          </w:tcPr>
          <w:p>
            <w:pPr>
              <w:spacing w:before="0" w:after="0"/>
              <w:ind w:firstLine="0"/>
              <w:jc w:val="left"/>
            </w:pPr>
            <w:r>
              <w:rPr>
                <w:rFonts w:ascii="Times New Roman" w:hAnsi="Times New Roman"/>
                <w:sz w:val="22"/>
              </w:rPr>
              <w:t>0.85–1.00</w:t>
            </w:r>
          </w:p>
        </w:tc>
        <w:tc>
          <w:tcPr>
            <w:tcW w:type="dxa" w:w="964"/>
          </w:tcPr>
          <w:p>
            <w:pPr>
              <w:spacing w:before="0" w:after="0"/>
              <w:ind w:firstLine="0"/>
              <w:jc w:val="left"/>
            </w:pPr>
            <w:r>
              <w:rPr>
                <w:rFonts w:ascii="Times New Roman" w:hAnsi="Times New Roman"/>
                <w:sz w:val="22"/>
              </w:rPr>
              <w:t>0.90–1.00</w:t>
            </w:r>
          </w:p>
        </w:tc>
      </w:tr>
      <w:tr>
        <w:tc>
          <w:tcPr>
            <w:tcW w:type="dxa" w:w="964"/>
          </w:tcPr>
          <w:p>
            <w:pPr>
              <w:spacing w:before="0" w:after="0"/>
              <w:ind w:firstLine="0"/>
              <w:jc w:val="left"/>
            </w:pPr>
            <w:r>
              <w:rPr>
                <w:rFonts w:ascii="Times New Roman" w:hAnsi="Times New Roman"/>
                <w:sz w:val="22"/>
              </w:rPr>
              <w:t>η_ex sistem (%)</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5–8%</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15–27%</w:t>
            </w:r>
          </w:p>
        </w:tc>
        <w:tc>
          <w:tcPr>
            <w:tcW w:type="dxa" w:w="964"/>
          </w:tcPr>
          <w:p>
            <w:pPr>
              <w:spacing w:before="0" w:after="0"/>
              <w:ind w:firstLine="0"/>
              <w:jc w:val="left"/>
            </w:pPr>
            <w:r>
              <w:rPr>
                <w:rFonts w:ascii="Times New Roman" w:hAnsi="Times New Roman"/>
                <w:sz w:val="22"/>
              </w:rPr>
              <w:t>20–35%</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70–85%</w:t>
            </w:r>
          </w:p>
        </w:tc>
      </w:tr>
      <w:tr>
        <w:tc>
          <w:tcPr>
            <w:tcW w:type="dxa" w:w="964"/>
          </w:tcPr>
          <w:p>
            <w:pPr>
              <w:spacing w:before="0" w:after="0"/>
              <w:ind w:firstLine="0"/>
              <w:jc w:val="left"/>
            </w:pPr>
            <w:r>
              <w:rPr>
                <w:rFonts w:ascii="Times New Roman" w:hAnsi="Times New Roman"/>
                <w:sz w:val="22"/>
              </w:rPr>
              <w:t>Ex_destroyed (%)</w:t>
            </w:r>
          </w:p>
        </w:tc>
        <w:tc>
          <w:tcPr>
            <w:tcW w:type="dxa" w:w="964"/>
          </w:tcPr>
          <w:p>
            <w:pPr>
              <w:spacing w:before="0" w:after="0"/>
              <w:ind w:firstLine="0"/>
              <w:jc w:val="left"/>
            </w:pPr>
            <w:r>
              <w:rPr>
                <w:rFonts w:ascii="Times New Roman" w:hAnsi="Times New Roman"/>
                <w:sz w:val="22"/>
              </w:rPr>
              <w:t>95–97%</w:t>
            </w:r>
          </w:p>
        </w:tc>
        <w:tc>
          <w:tcPr>
            <w:tcW w:type="dxa" w:w="964"/>
          </w:tcPr>
          <w:p>
            <w:pPr>
              <w:spacing w:before="0" w:after="0"/>
              <w:ind w:firstLine="0"/>
              <w:jc w:val="left"/>
            </w:pPr>
            <w:r>
              <w:rPr>
                <w:rFonts w:ascii="Times New Roman" w:hAnsi="Times New Roman"/>
                <w:sz w:val="22"/>
              </w:rPr>
              <w:t>92–95%</w:t>
            </w:r>
          </w:p>
        </w:tc>
        <w:tc>
          <w:tcPr>
            <w:tcW w:type="dxa" w:w="964"/>
          </w:tcPr>
          <w:p>
            <w:pPr>
              <w:spacing w:before="0" w:after="0"/>
              <w:ind w:firstLine="0"/>
              <w:jc w:val="left"/>
            </w:pPr>
            <w:r>
              <w:rPr>
                <w:rFonts w:ascii="Times New Roman" w:hAnsi="Times New Roman"/>
                <w:sz w:val="22"/>
              </w:rPr>
              <w:t>85–92%</w:t>
            </w:r>
          </w:p>
        </w:tc>
        <w:tc>
          <w:tcPr>
            <w:tcW w:type="dxa" w:w="964"/>
          </w:tcPr>
          <w:p>
            <w:pPr>
              <w:spacing w:before="0" w:after="0"/>
              <w:ind w:firstLine="0"/>
              <w:jc w:val="left"/>
            </w:pPr>
            <w:r>
              <w:rPr>
                <w:rFonts w:ascii="Times New Roman" w:hAnsi="Times New Roman"/>
                <w:sz w:val="22"/>
              </w:rPr>
              <w:t>73–85%</w:t>
            </w:r>
          </w:p>
        </w:tc>
        <w:tc>
          <w:tcPr>
            <w:tcW w:type="dxa" w:w="964"/>
          </w:tcPr>
          <w:p>
            <w:pPr>
              <w:spacing w:before="0" w:after="0"/>
              <w:ind w:firstLine="0"/>
              <w:jc w:val="left"/>
            </w:pPr>
            <w:r>
              <w:rPr>
                <w:rFonts w:ascii="Times New Roman" w:hAnsi="Times New Roman"/>
                <w:sz w:val="22"/>
              </w:rPr>
              <w:t>65–80%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15–30%</w:t>
            </w:r>
          </w:p>
        </w:tc>
      </w:tr>
      <w:tr>
        <w:tc>
          <w:tcPr>
            <w:tcW w:type="dxa" w:w="964"/>
          </w:tcPr>
          <w:p>
            <w:pPr>
              <w:spacing w:before="0" w:after="0"/>
              <w:ind w:firstLine="0"/>
              <w:jc w:val="left"/>
            </w:pPr>
            <w:r>
              <w:rPr>
                <w:rFonts w:ascii="Times New Roman" w:hAnsi="Times New Roman"/>
                <w:sz w:val="22"/>
              </w:rPr>
              <w:t>Mismatch exergetic</w:t>
            </w:r>
          </w:p>
        </w:tc>
        <w:tc>
          <w:tcPr>
            <w:tcW w:type="dxa" w:w="964"/>
          </w:tcPr>
          <w:p>
            <w:pPr>
              <w:spacing w:before="0" w:after="0"/>
              <w:ind w:firstLine="0"/>
              <w:jc w:val="left"/>
            </w:pPr>
            <w:r>
              <w:rPr>
                <w:rFonts w:ascii="Times New Roman" w:hAnsi="Times New Roman"/>
                <w:sz w:val="22"/>
              </w:rPr>
              <w:t>Critic</w:t>
            </w:r>
          </w:p>
        </w:tc>
        <w:tc>
          <w:tcPr>
            <w:tcW w:type="dxa" w:w="964"/>
          </w:tcPr>
          <w:p>
            <w:pPr>
              <w:spacing w:before="0" w:after="0"/>
              <w:ind w:firstLine="0"/>
              <w:jc w:val="left"/>
            </w:pPr>
            <w:r>
              <w:rPr>
                <w:rFonts w:ascii="Times New Roman" w:hAnsi="Times New Roman"/>
                <w:sz w:val="22"/>
              </w:rPr>
              <w:t>Sever</w:t>
            </w:r>
          </w:p>
        </w:tc>
        <w:tc>
          <w:tcPr>
            <w:tcW w:type="dxa" w:w="964"/>
          </w:tcPr>
          <w:p>
            <w:pPr>
              <w:spacing w:before="0" w:after="0"/>
              <w:ind w:firstLine="0"/>
              <w:jc w:val="left"/>
            </w:pPr>
            <w:r>
              <w:rPr>
                <w:rFonts w:ascii="Times New Roman" w:hAnsi="Times New Roman"/>
                <w:sz w:val="22"/>
              </w:rPr>
              <w:t>Moderat</w:t>
            </w:r>
          </w:p>
        </w:tc>
        <w:tc>
          <w:tcPr>
            <w:tcW w:type="dxa" w:w="964"/>
          </w:tcPr>
          <w:p>
            <w:pPr>
              <w:spacing w:before="0" w:after="0"/>
              <w:ind w:firstLine="0"/>
              <w:jc w:val="left"/>
            </w:pPr>
            <w:r>
              <w:rPr>
                <w:rFonts w:ascii="Times New Roman" w:hAnsi="Times New Roman"/>
                <w:sz w:val="22"/>
              </w:rPr>
              <w:t>Parțial</w:t>
            </w:r>
          </w:p>
        </w:tc>
        <w:tc>
          <w:tcPr>
            <w:tcW w:type="dxa" w:w="964"/>
          </w:tcPr>
          <w:p>
            <w:pPr>
              <w:spacing w:before="0" w:after="0"/>
              <w:ind w:firstLine="0"/>
              <w:jc w:val="left"/>
            </w:pPr>
            <w:r>
              <w:rPr>
                <w:rFonts w:ascii="Times New Roman" w:hAnsi="Times New Roman"/>
                <w:sz w:val="22"/>
              </w:rPr>
              <w:t>Scăzut</w:t>
            </w:r>
          </w:p>
        </w:tc>
        <w:tc>
          <w:tcPr>
            <w:tcW w:type="dxa" w:w="964"/>
          </w:tcPr>
          <w:p>
            <w:pPr>
              <w:spacing w:before="0" w:after="0"/>
              <w:ind w:firstLine="0"/>
              <w:jc w:val="left"/>
            </w:pPr>
            <w:r>
              <w:rPr>
                <w:rFonts w:ascii="Times New Roman" w:hAnsi="Times New Roman"/>
                <w:sz w:val="22"/>
              </w:rPr>
              <w:t>Minim</w:t>
            </w:r>
          </w:p>
        </w:tc>
        <w:tc>
          <w:tcPr>
            <w:tcW w:type="dxa" w:w="964"/>
          </w:tcPr>
          <w:p>
            <w:pPr>
              <w:spacing w:before="0" w:after="0"/>
              <w:ind w:firstLine="0"/>
              <w:jc w:val="left"/>
            </w:pPr>
            <w:r>
              <w:rPr>
                <w:rFonts w:ascii="Times New Roman" w:hAnsi="Times New Roman"/>
                <w:sz w:val="22"/>
              </w:rPr>
              <w:t>Aproape nul</w:t>
            </w:r>
          </w:p>
        </w:tc>
      </w:tr>
    </w:tbl>
    <w:p>
      <w:pPr>
        <w:ind w:firstLine="0"/>
      </w:pPr>
    </w:p>
    <w:p>
      <w:pPr/>
      <w:r>
        <w:t>Tabelul 7 revelă un aspect crucial: saltul de performanță exergetică de la 3G (8–15%) la 6G (50–70%) nu este un progres incremental — este un salt de paradigmă, asociat unui salt similar al QMF de la 0.10–0.27 la 0.85–1.00. Acesta este efectul concret și cuantificabil al implementării Quality Matching la nivel sistemic, prin cascada termodinamică completă N1→N4.</w:t>
      </w:r>
    </w:p>
    <w:p>
      <w:pPr>
        <w:ind w:firstLine="0"/>
      </w:pPr>
    </w:p>
    <w:p>
      <w:pPr>
        <w:pStyle w:val="ChapterHeading"/>
        <w:keepNext/>
      </w:pPr>
      <w:r>
        <w:t>7. Studiu de Caz: Sistem 3G Convențional Vs. Sistem 6G Des</w:t>
      </w:r>
    </w:p>
    <w:p>
      <w:pPr>
        <w:ind w:firstLine="0"/>
      </w:pPr>
    </w:p>
    <w:p>
      <w:pPr>
        <w:pStyle w:val="SubHeading"/>
        <w:keepNext/>
      </w:pPr>
      <w:r>
        <w:t>7.1 Descrierea sistemelor comparate</w:t>
      </w:r>
    </w:p>
    <w:p>
      <w:pPr>
        <w:ind w:firstLine="0"/>
      </w:pPr>
    </w:p>
    <w:p>
      <w:pPr/>
      <w:r>
        <w:t>Studiul de caz analizează comparativ două sisteme de termoficare pentru o localitate rurală reprezentativă (500 locuitori, 150 gospodării, suprafață totală încălzită ~9.000 m², consum termic specific ~65 kWh/m²·an, total ~585 MWh/an):</w:t>
      </w:r>
    </w:p>
    <w:p>
      <w:pPr/>
      <w:r>
        <w:rPr>
          <w:b/>
        </w:rPr>
        <w:t>Sistemul A (3G convențional): centrală termică cu cazan pe biomasă/gaz natural, T_furnizare = 85°C, T_retur = 65°C, distribuție mono-circuit, radiatoare convecție la consumatori. Parametru reprezentativ pentru proiecte PNRR/POIM România, generația 3G.</w:t>
      </w:r>
    </w:p>
    <w:p>
      <w:pPr/>
      <w:r>
        <w:rPr>
          <w:b/>
        </w:rPr>
        <w:t>Sistemul B (6G DES): Energy HUB cu CHP biomasă + colectoare PVT + pompă căldură, distribuție E-TTS tri-tubulară (N1: 85°C, N2: 55°C, N3: 38°C), planșee radiante la consumatori. Parametru reprezentativ pentru arhitectura Exergy Metasystem 6G (EnEx Institute 2025).</w:t>
      </w:r>
    </w:p>
    <w:p>
      <w:pPr>
        <w:ind w:firstLine="0"/>
      </w:pPr>
    </w:p>
    <w:p>
      <w:pPr>
        <w:pStyle w:val="SubHeading"/>
        <w:keepNext/>
      </w:pPr>
      <w:r>
        <w:t>7.2 Rezultatele comparative — tabelul central de referință</w:t>
      </w:r>
    </w:p>
    <w:p>
      <w:pPr>
        <w:ind w:firstLine="0"/>
      </w:pPr>
    </w:p>
    <w:p>
      <w:pPr>
        <w:ind w:firstLine="0"/>
      </w:pPr>
    </w:p>
    <w:p>
      <w:pPr>
        <w:pStyle w:val="TableCaption"/>
      </w:pPr>
      <w:r>
        <w:t>Tabel 8. Comparație detaliată Sistem 3G vs. 6G DES. Valorile sunt calculate pentru localitate 500 loc., 585 MWh/an consum termic, T₀ = 283 K. Sistemul 6G utilizează livrare pe Nivelul N3 (38°C) pentru planșeu radiant. Sursă: calcul propriu pe baza metodologiei EnEx Institute / Exergy Metasystem.</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de analiză</w:t>
            </w:r>
          </w:p>
        </w:tc>
        <w:tc>
          <w:tcPr>
            <w:tcW w:type="dxa" w:w="1285"/>
          </w:tcPr>
          <w:p>
            <w:pPr>
              <w:spacing w:before="0" w:after="0"/>
              <w:ind w:firstLine="0"/>
              <w:jc w:val="left"/>
            </w:pPr>
            <w:r>
              <w:rPr>
                <w:rFonts w:ascii="Times New Roman" w:hAnsi="Times New Roman"/>
                <w:b/>
                <w:sz w:val="22"/>
              </w:rPr>
              <w:t>Sistem 3G convențional</w:t>
            </w:r>
          </w:p>
        </w:tc>
        <w:tc>
          <w:tcPr>
            <w:tcW w:type="dxa" w:w="1285"/>
          </w:tcPr>
          <w:p>
            <w:pPr>
              <w:spacing w:before="0" w:after="0"/>
              <w:ind w:firstLine="0"/>
              <w:jc w:val="left"/>
            </w:pPr>
            <w:r>
              <w:rPr>
                <w:rFonts w:ascii="Times New Roman" w:hAnsi="Times New Roman"/>
                <w:b/>
                <w:sz w:val="22"/>
              </w:rPr>
              <w:t>Sistem 4G optim.</w:t>
            </w:r>
          </w:p>
        </w:tc>
        <w:tc>
          <w:tcPr>
            <w:tcW w:type="dxa" w:w="1285"/>
          </w:tcPr>
          <w:p>
            <w:pPr>
              <w:spacing w:before="0" w:after="0"/>
              <w:ind w:firstLine="0"/>
              <w:jc w:val="left"/>
            </w:pPr>
            <w:r>
              <w:rPr>
                <w:rFonts w:ascii="Times New Roman" w:hAnsi="Times New Roman"/>
                <w:b/>
                <w:sz w:val="22"/>
              </w:rPr>
              <w:t>Sistem 6G DES</w:t>
            </w:r>
          </w:p>
        </w:tc>
        <w:tc>
          <w:tcPr>
            <w:tcW w:type="dxa" w:w="1285"/>
          </w:tcPr>
          <w:p>
            <w:pPr>
              <w:spacing w:before="0" w:after="0"/>
              <w:ind w:firstLine="0"/>
              <w:jc w:val="left"/>
            </w:pPr>
            <w:r>
              <w:rPr>
                <w:rFonts w:ascii="Times New Roman" w:hAnsi="Times New Roman"/>
                <w:b/>
                <w:sz w:val="22"/>
              </w:rPr>
              <w:t>Îmbun. 3G→6G</w:t>
            </w:r>
          </w:p>
        </w:tc>
        <w:tc>
          <w:tcPr>
            <w:tcW w:type="dxa" w:w="1285"/>
          </w:tcPr>
          <w:p>
            <w:pPr>
              <w:spacing w:before="0" w:after="0"/>
              <w:ind w:firstLine="0"/>
              <w:jc w:val="left"/>
            </w:pPr>
            <w:r>
              <w:rPr>
                <w:rFonts w:ascii="Times New Roman" w:hAnsi="Times New Roman"/>
                <w:b/>
                <w:sz w:val="22"/>
              </w:rPr>
              <w:t>Note metodologice</w:t>
            </w:r>
          </w:p>
        </w:tc>
      </w:tr>
      <w:tr>
        <w:tc>
          <w:tcPr>
            <w:tcW w:type="dxa" w:w="1285"/>
          </w:tcPr>
          <w:p>
            <w:pPr>
              <w:spacing w:before="0" w:after="0"/>
              <w:ind w:firstLine="0"/>
              <w:jc w:val="left"/>
            </w:pPr>
            <w:r>
              <w:rPr>
                <w:rFonts w:ascii="Times New Roman" w:hAnsi="Times New Roman"/>
                <w:sz w:val="22"/>
              </w:rPr>
              <w:t>Temperatura furnizare rețea (°C)</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60</w:t>
            </w:r>
          </w:p>
        </w:tc>
        <w:tc>
          <w:tcPr>
            <w:tcW w:type="dxa" w:w="1285"/>
          </w:tcPr>
          <w:p>
            <w:pPr>
              <w:spacing w:before="0" w:after="0"/>
              <w:ind w:firstLine="0"/>
              <w:jc w:val="left"/>
            </w:pPr>
            <w:r>
              <w:rPr>
                <w:rFonts w:ascii="Times New Roman" w:hAnsi="Times New Roman"/>
                <w:sz w:val="22"/>
              </w:rPr>
              <w:t>Casc. 85/55/38</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Cascadă 3 niveluri N1/N2/N3 în 6G</w:t>
            </w:r>
          </w:p>
        </w:tc>
      </w:tr>
      <w:tr>
        <w:tc>
          <w:tcPr>
            <w:tcW w:type="dxa" w:w="1285"/>
          </w:tcPr>
          <w:p>
            <w:pPr>
              <w:spacing w:before="0" w:after="0"/>
              <w:ind w:firstLine="0"/>
              <w:jc w:val="left"/>
            </w:pPr>
            <w:r>
              <w:rPr>
                <w:rFonts w:ascii="Times New Roman" w:hAnsi="Times New Roman"/>
                <w:sz w:val="22"/>
              </w:rPr>
              <w:t>Temperatura cerere (încălzire planșeu) (°C)</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Cerință end-use identică</w:t>
            </w:r>
          </w:p>
        </w:tc>
      </w:tr>
      <w:tr>
        <w:tc>
          <w:tcPr>
            <w:tcW w:type="dxa" w:w="1285"/>
          </w:tcPr>
          <w:p>
            <w:pPr>
              <w:spacing w:before="0" w:after="0"/>
              <w:ind w:firstLine="0"/>
              <w:jc w:val="left"/>
            </w:pPr>
            <w:r>
              <w:rPr>
                <w:rFonts w:ascii="Times New Roman" w:hAnsi="Times New Roman"/>
                <w:sz w:val="22"/>
              </w:rPr>
              <w:t>Ex_furnizat (% din Q)</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~11%</w:t>
            </w:r>
          </w:p>
        </w:tc>
        <w:tc>
          <w:tcPr>
            <w:tcW w:type="dxa" w:w="1285"/>
          </w:tcPr>
          <w:p>
            <w:pPr>
              <w:spacing w:before="0" w:after="0"/>
              <w:ind w:firstLine="0"/>
              <w:jc w:val="left"/>
            </w:pPr>
            <w:r>
              <w:rPr>
                <w:rFonts w:ascii="Times New Roman" w:hAnsi="Times New Roman"/>
                <w:sz w:val="22"/>
              </w:rPr>
              <w:t>~6% (N3)</w:t>
            </w:r>
          </w:p>
        </w:tc>
        <w:tc>
          <w:tcPr>
            <w:tcW w:type="dxa" w:w="1285"/>
          </w:tcPr>
          <w:p>
            <w:pPr>
              <w:spacing w:before="0" w:after="0"/>
              <w:ind w:firstLine="0"/>
              <w:jc w:val="left"/>
            </w:pPr>
            <w:r>
              <w:rPr>
                <w:rFonts w:ascii="Times New Roman" w:hAnsi="Times New Roman"/>
                <w:sz w:val="22"/>
              </w:rPr>
              <w:t>−70%</w:t>
            </w:r>
          </w:p>
        </w:tc>
        <w:tc>
          <w:tcPr>
            <w:tcW w:type="dxa" w:w="1285"/>
          </w:tcPr>
          <w:p>
            <w:pPr>
              <w:spacing w:before="0" w:after="0"/>
              <w:ind w:firstLine="0"/>
              <w:jc w:val="left"/>
            </w:pPr>
            <w:r>
              <w:rPr>
                <w:rFonts w:ascii="Times New Roman" w:hAnsi="Times New Roman"/>
                <w:sz w:val="22"/>
              </w:rPr>
              <w:t>6G livrează exact nivel N3 pentru planșeu</w:t>
            </w:r>
          </w:p>
        </w:tc>
      </w:tr>
      <w:tr>
        <w:tc>
          <w:tcPr>
            <w:tcW w:type="dxa" w:w="1285"/>
          </w:tcPr>
          <w:p>
            <w:pPr>
              <w:spacing w:before="0" w:after="0"/>
              <w:ind w:firstLine="0"/>
              <w:jc w:val="left"/>
            </w:pPr>
            <w:r>
              <w:rPr>
                <w:rFonts w:ascii="Times New Roman" w:hAnsi="Times New Roman"/>
                <w:sz w:val="22"/>
              </w:rPr>
              <w:t>Ex_cerere (% din Q)</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Ex cerere identică (T_cerere fixă)</w:t>
            </w:r>
          </w:p>
        </w:tc>
      </w:tr>
      <w:tr>
        <w:tc>
          <w:tcPr>
            <w:tcW w:type="dxa" w:w="1285"/>
          </w:tcPr>
          <w:p>
            <w:pPr>
              <w:spacing w:before="0" w:after="0"/>
              <w:ind w:firstLine="0"/>
              <w:jc w:val="left"/>
            </w:pPr>
            <w:r>
              <w:rPr>
                <w:rFonts w:ascii="Times New Roman" w:hAnsi="Times New Roman"/>
                <w:sz w:val="22"/>
              </w:rPr>
              <w:t>QM Factor (QMF)</w:t>
            </w:r>
          </w:p>
        </w:tc>
        <w:tc>
          <w:tcPr>
            <w:tcW w:type="dxa" w:w="1285"/>
          </w:tcPr>
          <w:p>
            <w:pPr>
              <w:spacing w:before="0" w:after="0"/>
              <w:ind w:firstLine="0"/>
              <w:jc w:val="left"/>
            </w:pPr>
            <w:r>
              <w:rPr>
                <w:rFonts w:ascii="Times New Roman" w:hAnsi="Times New Roman"/>
                <w:sz w:val="22"/>
              </w:rPr>
              <w:t>0.20</w:t>
            </w:r>
          </w:p>
        </w:tc>
        <w:tc>
          <w:tcPr>
            <w:tcW w:type="dxa" w:w="1285"/>
          </w:tcPr>
          <w:p>
            <w:pPr>
              <w:spacing w:before="0" w:after="0"/>
              <w:ind w:firstLine="0"/>
              <w:jc w:val="left"/>
            </w:pPr>
            <w:r>
              <w:rPr>
                <w:rFonts w:ascii="Times New Roman" w:hAnsi="Times New Roman"/>
                <w:sz w:val="22"/>
              </w:rPr>
              <w:t>0.36</w:t>
            </w:r>
          </w:p>
        </w:tc>
        <w:tc>
          <w:tcPr>
            <w:tcW w:type="dxa" w:w="1285"/>
          </w:tcPr>
          <w:p>
            <w:pPr>
              <w:spacing w:before="0" w:after="0"/>
              <w:ind w:firstLine="0"/>
              <w:jc w:val="left"/>
            </w:pPr>
            <w:r>
              <w:rPr>
                <w:rFonts w:ascii="Times New Roman" w:hAnsi="Times New Roman"/>
                <w:sz w:val="22"/>
              </w:rPr>
              <w:t>0.67</w:t>
            </w:r>
          </w:p>
        </w:tc>
        <w:tc>
          <w:tcPr>
            <w:tcW w:type="dxa" w:w="1285"/>
          </w:tcPr>
          <w:p>
            <w:pPr>
              <w:spacing w:before="0" w:after="0"/>
              <w:ind w:firstLine="0"/>
              <w:jc w:val="left"/>
            </w:pPr>
            <w:r>
              <w:rPr>
                <w:rFonts w:ascii="Times New Roman" w:hAnsi="Times New Roman"/>
                <w:sz w:val="22"/>
              </w:rPr>
              <w:t>×3.35</w:t>
            </w:r>
          </w:p>
        </w:tc>
        <w:tc>
          <w:tcPr>
            <w:tcW w:type="dxa" w:w="1285"/>
          </w:tcPr>
          <w:p>
            <w:pPr>
              <w:spacing w:before="0" w:after="0"/>
              <w:ind w:firstLine="0"/>
              <w:jc w:val="left"/>
            </w:pPr>
            <w:r>
              <w:rPr>
                <w:rFonts w:ascii="Times New Roman" w:hAnsi="Times New Roman"/>
                <w:sz w:val="22"/>
              </w:rPr>
              <w:t>QMF 6G apropiat de ideal (1.0)</w:t>
            </w:r>
          </w:p>
        </w:tc>
      </w:tr>
      <w:tr>
        <w:tc>
          <w:tcPr>
            <w:tcW w:type="dxa" w:w="1285"/>
          </w:tcPr>
          <w:p>
            <w:pPr>
              <w:spacing w:before="0" w:after="0"/>
              <w:ind w:firstLine="0"/>
              <w:jc w:val="left"/>
            </w:pPr>
            <w:r>
              <w:rPr>
                <w:rFonts w:ascii="Times New Roman" w:hAnsi="Times New Roman"/>
                <w:sz w:val="22"/>
              </w:rPr>
              <w:t>Ex_destroyed per aplicație (%)</w:t>
            </w:r>
          </w:p>
        </w:tc>
        <w:tc>
          <w:tcPr>
            <w:tcW w:type="dxa" w:w="1285"/>
          </w:tcPr>
          <w:p>
            <w:pPr>
              <w:spacing w:before="0" w:after="0"/>
              <w:ind w:firstLine="0"/>
              <w:jc w:val="left"/>
            </w:pPr>
            <w:r>
              <w:rPr>
                <w:rFonts w:ascii="Times New Roman" w:hAnsi="Times New Roman"/>
                <w:sz w:val="22"/>
              </w:rPr>
              <w:t>~96%</w:t>
            </w:r>
          </w:p>
        </w:tc>
        <w:tc>
          <w:tcPr>
            <w:tcW w:type="dxa" w:w="1285"/>
          </w:tcPr>
          <w:p>
            <w:pPr>
              <w:spacing w:before="0" w:after="0"/>
              <w:ind w:firstLine="0"/>
              <w:jc w:val="left"/>
            </w:pPr>
            <w:r>
              <w:rPr>
                <w:rFonts w:ascii="Times New Roman" w:hAnsi="Times New Roman"/>
                <w:sz w:val="22"/>
              </w:rPr>
              <w:t>~89%</w:t>
            </w:r>
          </w:p>
        </w:tc>
        <w:tc>
          <w:tcPr>
            <w:tcW w:type="dxa" w:w="1285"/>
          </w:tcPr>
          <w:p>
            <w:pPr>
              <w:spacing w:before="0" w:after="0"/>
              <w:ind w:firstLine="0"/>
              <w:jc w:val="left"/>
            </w:pPr>
            <w:r>
              <w:rPr>
                <w:rFonts w:ascii="Times New Roman" w:hAnsi="Times New Roman"/>
                <w:sz w:val="22"/>
              </w:rPr>
              <w:t>~33%</w:t>
            </w:r>
          </w:p>
        </w:tc>
        <w:tc>
          <w:tcPr>
            <w:tcW w:type="dxa" w:w="1285"/>
          </w:tcPr>
          <w:p>
            <w:pPr>
              <w:spacing w:before="0" w:after="0"/>
              <w:ind w:firstLine="0"/>
              <w:jc w:val="left"/>
            </w:pPr>
            <w:r>
              <w:rPr>
                <w:rFonts w:ascii="Times New Roman" w:hAnsi="Times New Roman"/>
                <w:sz w:val="22"/>
              </w:rPr>
              <w:t>−66 pp</w:t>
            </w:r>
          </w:p>
        </w:tc>
        <w:tc>
          <w:tcPr>
            <w:tcW w:type="dxa" w:w="1285"/>
          </w:tcPr>
          <w:p>
            <w:pPr>
              <w:spacing w:before="0" w:after="0"/>
              <w:ind w:firstLine="0"/>
              <w:jc w:val="left"/>
            </w:pPr>
            <w:r>
              <w:rPr>
                <w:rFonts w:ascii="Times New Roman" w:hAnsi="Times New Roman"/>
                <w:sz w:val="22"/>
              </w:rPr>
              <w:t>Reducere dramatică mismatch exergetic</w:t>
            </w:r>
          </w:p>
        </w:tc>
      </w:tr>
      <w:tr>
        <w:tc>
          <w:tcPr>
            <w:tcW w:type="dxa" w:w="1285"/>
          </w:tcPr>
          <w:p>
            <w:pPr>
              <w:spacing w:before="0" w:after="0"/>
              <w:ind w:firstLine="0"/>
              <w:jc w:val="left"/>
            </w:pPr>
            <w:r>
              <w:rPr>
                <w:rFonts w:ascii="Times New Roman" w:hAnsi="Times New Roman"/>
                <w:sz w:val="22"/>
              </w:rPr>
              <w:t>η_ex sistem total (%)</w:t>
            </w:r>
          </w:p>
        </w:tc>
        <w:tc>
          <w:tcPr>
            <w:tcW w:type="dxa" w:w="1285"/>
          </w:tcPr>
          <w:p>
            <w:pPr>
              <w:spacing w:before="0" w:after="0"/>
              <w:ind w:firstLine="0"/>
              <w:jc w:val="left"/>
            </w:pPr>
            <w:r>
              <w:rPr>
                <w:rFonts w:ascii="Times New Roman" w:hAnsi="Times New Roman"/>
                <w:sz w:val="22"/>
              </w:rPr>
              <w:t>~8–12%</w:t>
            </w:r>
          </w:p>
        </w:tc>
        <w:tc>
          <w:tcPr>
            <w:tcW w:type="dxa" w:w="1285"/>
          </w:tcPr>
          <w:p>
            <w:pPr>
              <w:spacing w:before="0" w:after="0"/>
              <w:ind w:firstLine="0"/>
              <w:jc w:val="left"/>
            </w:pPr>
            <w:r>
              <w:rPr>
                <w:rFonts w:ascii="Times New Roman" w:hAnsi="Times New Roman"/>
                <w:sz w:val="22"/>
              </w:rPr>
              <w:t>~18–22%</w:t>
            </w:r>
          </w:p>
        </w:tc>
        <w:tc>
          <w:tcPr>
            <w:tcW w:type="dxa" w:w="1285"/>
          </w:tcPr>
          <w:p>
            <w:pPr>
              <w:spacing w:before="0" w:after="0"/>
              <w:ind w:firstLine="0"/>
              <w:jc w:val="left"/>
            </w:pPr>
            <w:r>
              <w:rPr>
                <w:rFonts w:ascii="Times New Roman" w:hAnsi="Times New Roman"/>
                <w:sz w:val="22"/>
              </w:rPr>
              <w:t>~55–65%</w:t>
            </w:r>
          </w:p>
        </w:tc>
        <w:tc>
          <w:tcPr>
            <w:tcW w:type="dxa" w:w="1285"/>
          </w:tcPr>
          <w:p>
            <w:pPr>
              <w:spacing w:before="0" w:after="0"/>
              <w:ind w:firstLine="0"/>
              <w:jc w:val="left"/>
            </w:pPr>
            <w:r>
              <w:rPr>
                <w:rFonts w:ascii="Times New Roman" w:hAnsi="Times New Roman"/>
                <w:sz w:val="22"/>
              </w:rPr>
              <w:t>×5–7x</w:t>
            </w:r>
          </w:p>
        </w:tc>
        <w:tc>
          <w:tcPr>
            <w:tcW w:type="dxa" w:w="1285"/>
          </w:tcPr>
          <w:p>
            <w:pPr>
              <w:spacing w:before="0" w:after="0"/>
              <w:ind w:firstLine="0"/>
              <w:jc w:val="left"/>
            </w:pPr>
            <w:r>
              <w:rPr>
                <w:rFonts w:ascii="Times New Roman" w:hAnsi="Times New Roman"/>
                <w:sz w:val="22"/>
              </w:rPr>
              <w:t>Incluzând toate subsistemele</w:t>
            </w:r>
          </w:p>
        </w:tc>
      </w:tr>
      <w:tr>
        <w:tc>
          <w:tcPr>
            <w:tcW w:type="dxa" w:w="1285"/>
          </w:tcPr>
          <w:p>
            <w:pPr>
              <w:spacing w:before="0" w:after="0"/>
              <w:ind w:firstLine="0"/>
              <w:jc w:val="left"/>
            </w:pPr>
            <w:r>
              <w:rPr>
                <w:rFonts w:ascii="Times New Roman" w:hAnsi="Times New Roman"/>
                <w:sz w:val="22"/>
              </w:rPr>
              <w:t>Pierderi rețea termică (%)</w:t>
            </w:r>
          </w:p>
        </w:tc>
        <w:tc>
          <w:tcPr>
            <w:tcW w:type="dxa" w:w="1285"/>
          </w:tcPr>
          <w:p>
            <w:pPr>
              <w:spacing w:before="0" w:after="0"/>
              <w:ind w:firstLine="0"/>
              <w:jc w:val="left"/>
            </w:pPr>
            <w:r>
              <w:rPr>
                <w:rFonts w:ascii="Times New Roman" w:hAnsi="Times New Roman"/>
                <w:sz w:val="22"/>
              </w:rPr>
              <w:t>15–20%</w:t>
            </w:r>
          </w:p>
        </w:tc>
        <w:tc>
          <w:tcPr>
            <w:tcW w:type="dxa" w:w="1285"/>
          </w:tcPr>
          <w:p>
            <w:pPr>
              <w:spacing w:before="0" w:after="0"/>
              <w:ind w:firstLine="0"/>
              <w:jc w:val="left"/>
            </w:pPr>
            <w:r>
              <w:rPr>
                <w:rFonts w:ascii="Times New Roman" w:hAnsi="Times New Roman"/>
                <w:sz w:val="22"/>
              </w:rPr>
              <w:t>8–12%</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−60%</w:t>
            </w:r>
          </w:p>
        </w:tc>
        <w:tc>
          <w:tcPr>
            <w:tcW w:type="dxa" w:w="1285"/>
          </w:tcPr>
          <w:p>
            <w:pPr>
              <w:spacing w:before="0" w:after="0"/>
              <w:ind w:firstLine="0"/>
              <w:jc w:val="left"/>
            </w:pPr>
            <w:r>
              <w:rPr>
                <w:rFonts w:ascii="Times New Roman" w:hAnsi="Times New Roman"/>
                <w:sz w:val="22"/>
              </w:rPr>
              <w:t>Conducte pre-izolate avansate + control</w:t>
            </w:r>
          </w:p>
        </w:tc>
      </w:tr>
      <w:tr>
        <w:tc>
          <w:tcPr>
            <w:tcW w:type="dxa" w:w="1285"/>
          </w:tcPr>
          <w:p>
            <w:pPr>
              <w:spacing w:before="0" w:after="0"/>
              <w:ind w:firstLine="0"/>
              <w:jc w:val="left"/>
            </w:pPr>
            <w:r>
              <w:rPr>
                <w:rFonts w:ascii="Times New Roman" w:hAnsi="Times New Roman"/>
                <w:sz w:val="22"/>
              </w:rPr>
              <w:t>Consum pompare (% din E livrată)</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2–3%</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−50%</w:t>
            </w:r>
          </w:p>
        </w:tc>
        <w:tc>
          <w:tcPr>
            <w:tcW w:type="dxa" w:w="1285"/>
          </w:tcPr>
          <w:p>
            <w:pPr>
              <w:spacing w:before="0" w:after="0"/>
              <w:ind w:firstLine="0"/>
              <w:jc w:val="left"/>
            </w:pPr>
            <w:r>
              <w:rPr>
                <w:rFonts w:ascii="Times New Roman" w:hAnsi="Times New Roman"/>
                <w:sz w:val="22"/>
              </w:rPr>
              <w:t>Debite reduse prin ΔT mai mari</w:t>
            </w:r>
          </w:p>
        </w:tc>
      </w:tr>
      <w:tr>
        <w:tc>
          <w:tcPr>
            <w:tcW w:type="dxa" w:w="1285"/>
          </w:tcPr>
          <w:p>
            <w:pPr>
              <w:spacing w:before="0" w:after="0"/>
              <w:ind w:firstLine="0"/>
              <w:jc w:val="left"/>
            </w:pPr>
            <w:r>
              <w:rPr>
                <w:rFonts w:ascii="Times New Roman" w:hAnsi="Times New Roman"/>
                <w:sz w:val="22"/>
              </w:rPr>
              <w:t>Emisii CO₂ (kg/MWh_termic)</w:t>
            </w:r>
          </w:p>
        </w:tc>
        <w:tc>
          <w:tcPr>
            <w:tcW w:type="dxa" w:w="1285"/>
          </w:tcPr>
          <w:p>
            <w:pPr>
              <w:spacing w:before="0" w:after="0"/>
              <w:ind w:firstLine="0"/>
              <w:jc w:val="left"/>
            </w:pPr>
            <w:r>
              <w:rPr>
                <w:rFonts w:ascii="Times New Roman" w:hAnsi="Times New Roman"/>
                <w:sz w:val="22"/>
              </w:rPr>
              <w:t>180–220</w:t>
            </w:r>
          </w:p>
        </w:tc>
        <w:tc>
          <w:tcPr>
            <w:tcW w:type="dxa" w:w="1285"/>
          </w:tcPr>
          <w:p>
            <w:pPr>
              <w:spacing w:before="0" w:after="0"/>
              <w:ind w:firstLine="0"/>
              <w:jc w:val="left"/>
            </w:pPr>
            <w:r>
              <w:rPr>
                <w:rFonts w:ascii="Times New Roman" w:hAnsi="Times New Roman"/>
                <w:sz w:val="22"/>
              </w:rPr>
              <w:t>80–120</w:t>
            </w:r>
          </w:p>
        </w:tc>
        <w:tc>
          <w:tcPr>
            <w:tcW w:type="dxa" w:w="1285"/>
          </w:tcPr>
          <w:p>
            <w:pPr>
              <w:spacing w:before="0" w:after="0"/>
              <w:ind w:firstLine="0"/>
              <w:jc w:val="left"/>
            </w:pPr>
            <w:r>
              <w:rPr>
                <w:rFonts w:ascii="Times New Roman" w:hAnsi="Times New Roman"/>
                <w:sz w:val="22"/>
              </w:rPr>
              <w:t>0–15</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6G: 100% regen. + biochar ReCarbon</w:t>
            </w:r>
          </w:p>
        </w:tc>
      </w:tr>
      <w:tr>
        <w:tc>
          <w:tcPr>
            <w:tcW w:type="dxa" w:w="1285"/>
          </w:tcPr>
          <w:p>
            <w:pPr>
              <w:spacing w:before="0" w:after="0"/>
              <w:ind w:firstLine="0"/>
              <w:jc w:val="left"/>
            </w:pPr>
            <w:r>
              <w:rPr>
                <w:rFonts w:ascii="Times New Roman" w:hAnsi="Times New Roman"/>
                <w:sz w:val="22"/>
              </w:rPr>
              <w:t>Cost energie livrată (EUR/MWh)</w:t>
            </w:r>
          </w:p>
        </w:tc>
        <w:tc>
          <w:tcPr>
            <w:tcW w:type="dxa" w:w="1285"/>
          </w:tcPr>
          <w:p>
            <w:pPr>
              <w:spacing w:before="0" w:after="0"/>
              <w:ind w:firstLine="0"/>
              <w:jc w:val="left"/>
            </w:pPr>
            <w:r>
              <w:rPr>
                <w:rFonts w:ascii="Times New Roman" w:hAnsi="Times New Roman"/>
                <w:sz w:val="22"/>
              </w:rPr>
              <w:t>65–90</w:t>
            </w:r>
          </w:p>
        </w:tc>
        <w:tc>
          <w:tcPr>
            <w:tcW w:type="dxa" w:w="1285"/>
          </w:tcPr>
          <w:p>
            <w:pPr>
              <w:spacing w:before="0" w:after="0"/>
              <w:ind w:firstLine="0"/>
              <w:jc w:val="left"/>
            </w:pPr>
            <w:r>
              <w:rPr>
                <w:rFonts w:ascii="Times New Roman" w:hAnsi="Times New Roman"/>
                <w:sz w:val="22"/>
              </w:rPr>
              <w:t>45–65</w:t>
            </w:r>
          </w:p>
        </w:tc>
        <w:tc>
          <w:tcPr>
            <w:tcW w:type="dxa" w:w="1285"/>
          </w:tcPr>
          <w:p>
            <w:pPr>
              <w:spacing w:before="0" w:after="0"/>
              <w:ind w:firstLine="0"/>
              <w:jc w:val="left"/>
            </w:pPr>
            <w:r>
              <w:rPr>
                <w:rFonts w:ascii="Times New Roman" w:hAnsi="Times New Roman"/>
                <w:sz w:val="22"/>
              </w:rPr>
              <w:t>25–40</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Include CAPEX amortizat 20 ani</w:t>
            </w:r>
          </w:p>
        </w:tc>
      </w:tr>
    </w:tbl>
    <w:p>
      <w:pPr>
        <w:ind w:firstLine="0"/>
      </w:pPr>
    </w:p>
    <w:p>
      <w:pPr>
        <w:ind w:firstLine="0"/>
      </w:pPr>
    </w:p>
    <w:p>
      <w:pPr>
        <w:pStyle w:val="SubHeading"/>
        <w:keepNext/>
      </w:pPr>
      <w:r>
        <w:t>7.3 Analiza qmf în studiul de caz</w:t>
      </w:r>
    </w:p>
    <w:p>
      <w:pPr>
        <w:ind w:firstLine="0"/>
      </w:pPr>
    </w:p>
    <w:p>
      <w:pPr/>
      <w:r>
        <w:t>Calculul comparativ al QMF pentru cerința de bază (încălzire planșeu radiant, T_cerere = 35°C):</w:t>
      </w:r>
    </w:p>
    <w:p>
      <w:pPr>
        <w:ind w:firstLine="0"/>
        <w:tabs>
          <w:tab w:val="center" w:pos="3855"/>
          <w:tab w:val="right" w:pos="7710"/>
        </w:tabs>
        <w:jc w:val="left"/>
      </w:pPr>
      <w:r>
        <w:rPr>
          <w:rFonts w:ascii="Times New Roman" w:hAnsi="Times New Roman"/>
          <w:sz w:val="22"/>
        </w:rPr>
        <w:tab/>
      </w:r>
      <w:r>
        <w:rPr>
          <w:rFonts w:ascii="Times New Roman" w:hAnsi="Times New Roman"/>
          <w:sz w:val="22"/>
        </w:rPr>
        <w:t>QMF</w:t>
      </w:r>
      <w:r>
        <w:rPr>
          <w:rFonts w:ascii="Times New Roman" w:hAnsi="Times New Roman"/>
          <w:sz w:val="22"/>
          <w:vertAlign w:val="subscript"/>
        </w:rPr>
        <w:t>A</w:t>
      </w:r>
      <w:r>
        <w:rPr>
          <w:rFonts w:ascii="Times New Roman" w:hAnsi="Times New Roman"/>
          <w:sz w:val="22"/>
        </w:rPr>
        <w:t xml:space="preserve"> = (358 – 283) · 308 / [(308 – 283) · 358]  =  75 · 308 / (25 · 358)  =  23.100 / 8.950  ≈  0.258</w:t>
      </w:r>
      <w:r>
        <w:rPr>
          <w:rFonts w:ascii="Times New Roman" w:hAnsi="Times New Roman"/>
          <w:sz w:val="22"/>
        </w:rPr>
        <w:tab/>
        <w:t>(9)</w:t>
      </w:r>
    </w:p>
    <w:p>
      <w:pPr>
        <w:ind w:firstLine="0"/>
      </w:pPr>
      <w:r>
        <w:rPr>
          <w:rFonts w:ascii="Times New Roman" w:hAnsi="Times New Roman"/>
          <w:sz w:val="22"/>
        </w:rPr>
        <w:t>Interpretare: Clasa QMF-4 (SEVER). 74.2% din exergia furnizată este distrusă prin mismatch calitativ.</w:t>
      </w:r>
    </w:p>
    <w:p>
      <w:pPr>
        <w:ind w:firstLine="0"/>
        <w:tabs>
          <w:tab w:val="center" w:pos="3855"/>
          <w:tab w:val="right" w:pos="7710"/>
        </w:tabs>
        <w:jc w:val="left"/>
      </w:pPr>
      <w:r>
        <w:rPr>
          <w:rFonts w:ascii="Times New Roman" w:hAnsi="Times New Roman"/>
          <w:sz w:val="22"/>
        </w:rPr>
        <w:tab/>
      </w:r>
      <w:r>
        <w:rPr>
          <w:rFonts w:ascii="Times New Roman" w:hAnsi="Times New Roman"/>
          <w:sz w:val="22"/>
        </w:rPr>
        <w:t>QMF</w:t>
      </w:r>
      <w:r>
        <w:rPr>
          <w:rFonts w:ascii="Times New Roman" w:hAnsi="Times New Roman"/>
          <w:sz w:val="22"/>
          <w:vertAlign w:val="subscript"/>
        </w:rPr>
        <w:t>B</w:t>
      </w:r>
      <w:r>
        <w:rPr>
          <w:rFonts w:ascii="Times New Roman" w:hAnsi="Times New Roman"/>
          <w:sz w:val="22"/>
        </w:rPr>
        <w:t xml:space="preserve"> = (311 – 283) · 308 / [(308 – 283) · 311]  =  28 · 308 / (25 · 311)  =  8.624 / 7.775  ≈  0.891 → ~0.89</w:t>
      </w:r>
      <w:r>
        <w:rPr>
          <w:rFonts w:ascii="Times New Roman" w:hAnsi="Times New Roman"/>
          <w:sz w:val="22"/>
        </w:rPr>
        <w:tab/>
        <w:t>(10)</w:t>
      </w:r>
    </w:p>
    <w:p>
      <w:pPr>
        <w:ind w:firstLine="0"/>
      </w:pPr>
      <w:r>
        <w:rPr>
          <w:rFonts w:ascii="Times New Roman" w:hAnsi="Times New Roman"/>
          <w:sz w:val="22"/>
        </w:rPr>
        <w:t>Interpretare: Clasa QMF-1 (OPTIM). Doar 10.9% din exergia furnizată distrusă prin mismatch. Îmbunătățire: ×3.45 față de 3G.</w:t>
      </w:r>
    </w:p>
    <w:p>
      <w:pPr/>
      <w:r>
        <w:t>Diferența QMF: 0.89 – 0.26 = +0.63 puncte QMF (sau +243% îmbunătățire relativă). Tradus în termeni energetici anuali: reducerea exergiei distruse prin mismatch de la ~148 MWh_ex/an (sistem 3G) la ~16 MWh_ex/an (sistem 6G) — o economie de ~132 MWh_ex/an, echivalând cu 6.600 EUR/an la 50 EUR/MWh_ex (valoare de piață a exergiei electrice).</w:t>
      </w:r>
    </w:p>
    <w:p>
      <w:pPr/>
      <w:r>
        <w:rPr>
          <w:b/>
        </w:rPr>
        <w:t>⚠ VANDALISM TERMODINAMIC: Sistemul 3G analizat are η_energetică ≈ 78% (valoare „bună" în metrologia convențională), dar η_ex ≈ 9% și QMF ≈ 0.26 (clasele SEVER/MODERAT în metrologia exergetică). Promovarea acestui sistem ca „performant energetic" pe baza eficienței de ordinul I constituie o eroare sistematică în politica energetică, cu consecințe economice și de mediu cuantificabile.</w:t>
      </w:r>
    </w:p>
    <w:p>
      <w:pPr>
        <w:ind w:firstLine="0"/>
      </w:pPr>
    </w:p>
    <w:p>
      <w:pPr>
        <w:pStyle w:val="ChapterHeading"/>
        <w:keepNext/>
      </w:pPr>
      <w:r>
        <w:t>8. Implementarea Qmf — De la Teorie la Practică</w:t>
      </w:r>
    </w:p>
    <w:p>
      <w:pPr>
        <w:ind w:firstLine="0"/>
      </w:pPr>
    </w:p>
    <w:p>
      <w:pPr>
        <w:pStyle w:val="SubHeading"/>
        <w:keepNext/>
      </w:pPr>
      <w:r>
        <w:t>8.1 Qmf ca instrument de diagnostic operațional</w:t>
      </w:r>
    </w:p>
    <w:p>
      <w:pPr>
        <w:ind w:firstLine="0"/>
      </w:pPr>
    </w:p>
    <w:p>
      <w:pPr/>
      <w:r>
        <w:t>Factorul QMF poate fi calculat în timp real pentru orice punct de consum al rețelei DH, utilizând date disponibile din sistemele SCADA/EMS existente: temperatura de furnizare (T_furnizare, măsurată), temperatura de retur (T_retur, măsurată) și o estimare a temperaturii de cerere (T_cerere, calculabilă din profilul clădirii sau măsurabilă direct în instalația interioară). Această capacitate de calcul instantaneu face QMF un instrument practic de operare, nu doar un indicator teoretic.</w:t>
      </w:r>
    </w:p>
    <w:p>
      <w:pPr/>
      <w:r>
        <w:t>Arhitectura DigitAll a Exergy Metasystem (modulul EMS — P-OPT-1) calculează QMF în timp real pentru fiecare racord de prosumator, agregând rezultatele în QMF_G al rețelei. Alertele automate sunt generate când QMF &lt; 0.40 (clasă SEVER sau CRITIC) la oricare punct de consum, permițând intervenția operațională: reducerea setpoint-ului de furnizare sau propunerea reconfigurării instalației interioare.</w:t>
      </w:r>
    </w:p>
    <w:p>
      <w:pPr>
        <w:ind w:firstLine="0"/>
      </w:pPr>
    </w:p>
    <w:p>
      <w:pPr>
        <w:pStyle w:val="SubHeading"/>
        <w:keepNext/>
      </w:pPr>
      <w:r>
        <w:t>8.2 Cascada termodinamică n1→n4 ca implementare fizică a quality matching</w:t>
      </w:r>
    </w:p>
    <w:p>
      <w:pPr>
        <w:ind w:firstLine="0"/>
      </w:pPr>
    </w:p>
    <w:p>
      <w:pPr/>
      <w:r>
        <w:t>Principiul Quality Matching nu este realizabil în practică fără o arhitectură de distribuție capabilă să livreze energie la niveluri de temperatură diferențiate. Aceasta este rațiunea fundamentală a cascadei termodinamice N1→N4 din arhitectura 6G DES:</w:t>
      </w:r>
    </w:p>
    <w:p>
      <w:pPr>
        <w:pStyle w:val="ListParagraph"/>
        <w:ind w:left="1" w:hanging="1"/>
      </w:pPr>
      <w:r>
        <w:t>• Nivelul N1 (80–90°C): deservește cerințele de înaltă calitate — procese industriale, turbine CHP, deshidratare biomasă, ACM instantanee. QMF N1 ≈ 0.85–1.00 față de cerere industrială.</w:t>
      </w:r>
    </w:p>
    <w:p>
      <w:pPr>
        <w:pStyle w:val="ListParagraph"/>
        <w:ind w:left="1" w:hanging="1"/>
      </w:pPr>
      <w:r>
        <w:t>• Nivelul N2 (50–65°C): deservește cerințele de calitate medie — radiatoare convecție clădiri vechi, procese agricole termice, uscătoare. QMF N2 ≈ 0.65–0.80 față de cerere rezidențială standard.</w:t>
      </w:r>
    </w:p>
    <w:p>
      <w:pPr>
        <w:pStyle w:val="ListParagraph"/>
        <w:ind w:left="1" w:hanging="1"/>
      </w:pPr>
      <w:r>
        <w:t>• Nivelul N3 (30–45°C): deservește cerințele de joasă calitate — planșee radiante, sere, pre-încălzire ACM. QMF N3 ≈ 0.80–1.00 față de cerere planșeu radiant.</w:t>
      </w:r>
    </w:p>
    <w:p>
      <w:pPr>
        <w:pStyle w:val="ListParagraph"/>
        <w:ind w:left="1" w:hanging="1"/>
      </w:pPr>
      <w:r>
        <w:t>• Nivelul N4 (upgrade prin PC): pompele de căldură extrag exergia reziduală din fluxul N3 epuizat (T &lt; 30°C) și o upgradează la nivelul N2/N3 necesar consumatorilor izolați. COP 4–5 al pompelor de căldură înseamnă că 1 kWh_ex electric produce 4–5 kWh_ex termic — multiplicare de exergie.</w:t>
      </w:r>
    </w:p>
    <w:p>
      <w:pPr/>
      <w:r>
        <w:t>Principiul Cascadei ca Implementare Fizică a QMF: Fiecare nivel al cascadei N1→N4 este optimizat pentru o clasă de cereri cu exergie specifică. Niciun flux energetic nu este livrat la un nivel de calitate superior celui necesar cererii deservite. Rezultat: QMF_G al sistemului 6G ≈ 0.85–1.00, față de QMF_G ≈ 0.10–0.25 al sistemelor 3G convenționale. Aceasta este diferența termodinamică fundamentală dintre generația 3G și 6G — nu eficiența echipamentelor, ci arhitectura sistemică.</w:t>
      </w:r>
    </w:p>
    <w:p>
      <w:pPr>
        <w:ind w:firstLine="0"/>
      </w:pPr>
    </w:p>
    <w:p>
      <w:pPr>
        <w:pStyle w:val="SubHeading"/>
        <w:keepNext/>
      </w:pPr>
      <w:r>
        <w:t>8.3 Qmf ca indicator obligatoriu în certificarea energetică a sistemelor dh</w:t>
      </w:r>
    </w:p>
    <w:p>
      <w:pPr>
        <w:ind w:firstLine="0"/>
      </w:pPr>
    </w:p>
    <w:p>
      <w:pPr/>
      <w:r>
        <w:t>Prezenta lucrare propune adoptarea Factorului QMF ca indicator obligatoriu de raportare și certificare energetică a sistemelor DH în cadrul legislativ european (Directiva 2023/1791/UE — EED revizuită; Directiva 2018/2001/UE — RED II/III). Argumentul este că utilizarea exclusivă a eficienței energetice (η_I) ca metrică de certificare a creat un cadru de stimulente distorsionat, care a permis construirea/subvenționarea de sisteme cu performanță exergetică scăzută.</w:t>
      </w:r>
    </w:p>
    <w:p>
      <w:pPr/>
      <w:r>
        <w:t>Propunerea operațională: QMF ≥ 0.60 (clasă QMF-2 sau mai bun) ca cerință minimă pentru sisteme DH eligibile la finanțare publică europeană (fonduri structurale, Mecanismul de Redresare și Reziliență). QMF &lt; 0.40 (clasă QMF-4/5) ca indicator de incluziune obligatorie în planul de modernizare cu termen limită 2030.</w:t>
      </w:r>
    </w:p>
    <w:p>
      <w:pPr>
        <w:ind w:firstLine="0"/>
      </w:pPr>
    </w:p>
    <w:p>
      <w:pPr>
        <w:pStyle w:val="ChapterHeading"/>
        <w:keepNext/>
      </w:pPr>
      <w:r>
        <w:t>9. Concluzii</w:t>
      </w:r>
    </w:p>
    <w:p>
      <w:pPr>
        <w:ind w:firstLine="0"/>
      </w:pPr>
    </w:p>
    <w:p>
      <w:pPr>
        <w:pStyle w:val="SubHeading"/>
        <w:keepNext/>
      </w:pPr>
      <w:r>
        <w:t>9.1 Concluzii principale</w:t>
      </w:r>
    </w:p>
    <w:p>
      <w:pPr>
        <w:ind w:firstLine="0"/>
      </w:pPr>
    </w:p>
    <w:p>
      <w:pPr/>
      <w:r>
        <w:t>Prezenta lucrare a demonstrat că Quality Matching — potrivirea calității exergetice a sursei cu cerința minimă necesară a aplicației — este Principiul de Aur al proiectării raționale a sistemelor energetice ale localităților, și nu un concept opțional sau de rafinament academic.</w:t>
      </w:r>
    </w:p>
    <w:p>
      <w:pPr/>
      <w:r>
        <w:t>Formalizarea matematică a Factorului QMF = Ex_cerere / Ex_furnizat oferă un instrument de diagnostic precis, calculabil din date operaționale disponibile, aplicabil oricărui subsistem sau rețele DH. Identitatea QMF_G ≡ η_ex,sistem demonstrează că Quality Matching nu este un criteriu adițional față de eficiența exergetică — este chiar mecanismul fizic prin care eficiența exergetică este creată sau subminată.</w:t>
      </w:r>
    </w:p>
    <w:p>
      <w:pPr/>
      <w:r>
        <w:t>Cuantificarea numerică detaliată a demonstrat că sistemele 3G convenționale prezintă QMF de 0.10–0.27 pentru aplicații rezidențiale tipice, implicând distrugerea ireversibilă a 73–90% din exergia furnizată prin nepotrivire calitativă structurală. La scara sistemelor DH din România, aceasta corespunde unei pierderi estimate de ~660 MEUR/an în valoare de piață a exergiei irosite.</w:t>
      </w:r>
    </w:p>
    <w:p>
      <w:pPr/>
      <w:r>
        <w:t>Studiul de caz comparat 3G vs. 6G DES a demonstrat că implementarea Quality Matching prin cascada termodinamică N1→N4 îmbunătățește QMF de la 0.26 la 0.89 (+243% relativ) și reduce exergia distrusă prin mismatch cu ~89%, de la 148 MWh_ex/an la 16 MWh_ex/an pentru o localitate de 500 locuitori.</w:t>
      </w:r>
    </w:p>
    <w:p>
      <w:pPr/>
      <w:r>
        <w:t>Sistemul de clasificare QMF propus (5 clase: CRITIC / SEVER / MODERAT / BUN / OPTIM) furnizează un cadru practic de certificare, operare și reglementare — analog clasificărilor energetice existente, dar fundamentat pe al Doilea Principiu al Termodinamicii.</w:t>
      </w:r>
    </w:p>
    <w:p>
      <w:pPr>
        <w:ind w:firstLine="0"/>
      </w:pPr>
    </w:p>
    <w:p>
      <w:pPr>
        <w:pStyle w:val="SubHeading"/>
        <w:keepNext/>
      </w:pPr>
      <w:r>
        <w:t>9.2 Limitări și direcții de cercetare</w:t>
      </w:r>
    </w:p>
    <w:p>
      <w:pPr>
        <w:ind w:firstLine="0"/>
      </w:pPr>
    </w:p>
    <w:p>
      <w:pPr>
        <w:pStyle w:val="ListParagraph"/>
        <w:ind w:left="1" w:hanging="1"/>
      </w:pPr>
      <w:r>
        <w:t>• Validarea experimentală a valorilor QMF calculate teoretic pe instalații DH reale monitorizate prin sisteme IoT/SCADA avansate.</w:t>
      </w:r>
    </w:p>
    <w:p>
      <w:pPr>
        <w:pStyle w:val="ListParagraph"/>
        <w:ind w:left="1" w:hanging="1"/>
      </w:pPr>
      <w:r>
        <w:t>• Extinderea formalizării QMF la fluxuri non-termice (exergie chimică, mecanică, electrică) pentru sisteme multi-vector 6G/7G.</w:t>
      </w:r>
    </w:p>
    <w:p>
      <w:pPr>
        <w:pStyle w:val="ListParagraph"/>
        <w:ind w:left="1" w:hanging="1"/>
      </w:pPr>
      <w:r>
        <w:t>• Dezvoltarea unui standard EN/ISO pentru calculul și raportarea QMF în auditurile energetice ale sistemelor DH.</w:t>
      </w:r>
    </w:p>
    <w:p>
      <w:pPr>
        <w:pStyle w:val="ListParagraph"/>
        <w:ind w:left="1" w:hanging="1"/>
      </w:pPr>
      <w:r>
        <w:t>• Analiza cost-beneficiu a intervenției de îmbunătățire a QMF, pe tipuri de localități (rurale, semi-urbane, urbane) din România.</w:t>
      </w:r>
    </w:p>
    <w:p>
      <w:pPr>
        <w:pStyle w:val="ListParagraph"/>
        <w:ind w:left="1" w:hanging="1"/>
      </w:pPr>
      <w:r>
        <w:t>• Integrarea QMF în funcțiile de optimizare ale sistemelor EMS AI din arhitectura 6G/7G, cu target QMF ≥ 0.85 la nivel de rețea.</w:t>
      </w:r>
    </w:p>
    <w:p>
      <w:pPr>
        <w:ind w:firstLine="0"/>
      </w:pPr>
    </w:p>
    <w:p>
      <w:pPr>
        <w:ind w:firstLine="0"/>
      </w:pPr>
    </w:p>
    <w:p>
      <w:pPr>
        <w:pStyle w:val="Title"/>
      </w:pPr>
      <w:r>
        <w:rPr>
          <w:b w:val="0"/>
        </w:rPr>
        <w:t>QUALITY MATCHING — THE GOLDEN PRINCIPLE OF COMMUNITY ENERGY SYSTEMS FORMALIZATION OF THE QM FACTOR AND QUANTIFICATION OF EXERGETIC LOSSES IN CONVENTIONAL DISTRICT HEATING SYSTEMS</w:t>
      </w:r>
    </w:p>
    <w:p>
      <w:pPr>
        <w:ind w:firstLine="0"/>
      </w:pPr>
    </w:p>
    <w:p>
      <w:pPr>
        <w:ind w:firstLine="0"/>
      </w:pPr>
    </w:p>
    <w:p>
      <w:pPr>
        <w:pStyle w:val="ChapterHeading"/>
      </w:pPr>
      <w:r>
        <w:t>Abstract</w:t>
      </w:r>
    </w:p>
    <w:p>
      <w:pPr>
        <w:ind w:firstLine="0"/>
      </w:pPr>
    </w:p>
    <w:p>
      <w:pPr/>
      <w:r>
        <w:rPr>
          <w:i/>
        </w:rPr>
        <w:t>The Quality Matching (QM) principle — matching the energy quality of the source with the minimum necessary requirement of the application — constitutes the Golden Rule of rational design of community energy systems. Although intuitively accepted in academic circles, the principle has remained until now without rigorous mathematical formalization, applicable as a diagnostic and optimization tool in the practice of territorial energy engineering.</w:t>
      </w:r>
    </w:p>
    <w:p>
      <w:pPr/>
      <w:r>
        <w:rPr>
          <w:i/>
        </w:rPr>
        <w:t>The present work proposes the complete formalization of the QM Factor (QMF) as a dimensionless metric derived from second-order exergetic analysis of thermodynamics, defined as the ratio between the minimum exergy necessary for the application (Ex_demand) and the exergy effectively supplied by the source (Ex_supplied). The QMF value ∈ (0,1] characterizes the degree of qualitative matching: QMF = 1 corresponds to perfect matching, without unnecessary exergy destruction; QMF → 0 characterizes systems with severe qualitative mismatch — thermodynamic vandalism.</w:t>
      </w:r>
    </w:p>
    <w:p>
      <w:pPr/>
      <w:r>
        <w:rPr>
          <w:i/>
        </w:rPr>
        <w:t>The work demonstrates, through detailed numerical analysis, that 3rd generation district heating systems (supply temperature 80–100°C) present QMF values of 0.10–0.27 for typical heating applications (radiant floor heating, 35°C), which implies unnecessary exergy destruction of 73–90% of the supplied exergetic flux — a systematic inefficiency of the order of billions of euros at European scale. 6th generation systems (District Exergy Systems), through implementation of the complete thermodynamic cascade N1→N4 and community Quality Matching, achieve QMF values of 0.85–1.00, with reductions in exergy destruction of over 70 percentage points.</w:t>
      </w:r>
    </w:p>
    <w:p>
      <w:pPr/>
      <w:r>
        <w:rPr>
          <w:i/>
        </w:rPr>
        <w:t>The original contributions include: (1) formal definition and mathematical derivation of the QMF Factor; (2) classification into 5 QMF performance classes with engineering action thresholds; (3) exergetic losses matrix by subsystems in conventional 3G systems; (4) quantified demonstration of Quality Matching benefits on comparative case study 3G vs. 6G; (5) proposal of QMF as mandatory indicator for energy certification of DH systems within the European legislative framework.</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Bejan, A.</w:t>
      </w:r>
      <w:r>
        <w:rPr>
          <w:rFonts w:ascii="Times New Roman" w:hAnsi="Times New Roman"/>
          <w:i/>
          <w:sz w:val="22"/>
        </w:rPr>
        <w:t xml:space="preserve"> (1988). Advanced Engineering Thermodynamics.</w:t>
      </w:r>
      <w:r>
        <w:rPr>
          <w:rFonts w:ascii="Times New Roman" w:hAnsi="Times New Roman"/>
          <w:sz w:val="22"/>
        </w:rPr>
        <w:t xml:space="preserve"> John Wiley &amp; Sons, New York. ISBN 0-471-83043-3.</w:t>
      </w:r>
    </w:p>
    <w:p>
      <w:pPr>
        <w:pStyle w:val="BibliographyEntry"/>
      </w:pPr>
      <w:r>
        <w:rPr>
          <w:rFonts w:ascii="Times New Roman" w:hAnsi="Times New Roman"/>
          <w:b/>
          <w:sz w:val="22"/>
        </w:rPr>
        <w:t>[2] Dincer, I., Rosen, M.A.</w:t>
      </w:r>
      <w:r>
        <w:rPr>
          <w:rFonts w:ascii="Times New Roman" w:hAnsi="Times New Roman"/>
          <w:i/>
          <w:sz w:val="22"/>
        </w:rPr>
        <w:t xml:space="preserve"> (2013). Exergy: Energy, Environment and Sustainable Development.</w:t>
      </w:r>
      <w:r>
        <w:rPr>
          <w:rFonts w:ascii="Times New Roman" w:hAnsi="Times New Roman"/>
          <w:sz w:val="22"/>
        </w:rPr>
        <w:t xml:space="preserve"> 2nd ed. Elsevier, Oxford. ISBN 978-0-08-097089-9.</w:t>
      </w:r>
    </w:p>
    <w:p>
      <w:pPr>
        <w:pStyle w:val="BibliographyEntry"/>
      </w:pPr>
      <w:r>
        <w:rPr>
          <w:rFonts w:ascii="Times New Roman" w:hAnsi="Times New Roman"/>
          <w:b/>
          <w:sz w:val="22"/>
        </w:rPr>
        <w:t>[3] Reistad, G.M.</w:t>
      </w:r>
      <w:r>
        <w:rPr>
          <w:rFonts w:ascii="Times New Roman" w:hAnsi="Times New Roman"/>
          <w:i/>
          <w:sz w:val="22"/>
        </w:rPr>
        <w:t xml:space="preserve"> (1975). Available Energy Conversion and Utilization in the United States.</w:t>
      </w:r>
      <w:r>
        <w:rPr>
          <w:rFonts w:ascii="Times New Roman" w:hAnsi="Times New Roman"/>
          <w:sz w:val="22"/>
        </w:rPr>
        <w:t xml:space="preserve"> Journal of Engineering for Gas Turbines and Power, 97(3), 429–434.</w:t>
      </w:r>
    </w:p>
    <w:p>
      <w:pPr>
        <w:pStyle w:val="BibliographyEntry"/>
      </w:pPr>
      <w:r>
        <w:rPr>
          <w:rFonts w:ascii="Times New Roman" w:hAnsi="Times New Roman"/>
          <w:b/>
          <w:sz w:val="22"/>
        </w:rPr>
        <w:t>[4] Kilkis, B.</w:t>
      </w:r>
      <w:r>
        <w:rPr>
          <w:rFonts w:ascii="Times New Roman" w:hAnsi="Times New Roman"/>
          <w:i/>
          <w:sz w:val="22"/>
        </w:rPr>
        <w:t xml:space="preserve"> (2015). A New Exergy Metric for Energy, Carbon, and Cost Accountabilities of Building Envelope.</w:t>
      </w:r>
      <w:r>
        <w:rPr>
          <w:rFonts w:ascii="Times New Roman" w:hAnsi="Times New Roman"/>
          <w:sz w:val="22"/>
        </w:rPr>
        <w:t xml:space="preserve"> ASHRAE Transactions, 121(2), 1–12.</w:t>
      </w:r>
    </w:p>
    <w:p>
      <w:pPr>
        <w:pStyle w:val="BibliographyEntry"/>
      </w:pPr>
      <w:r>
        <w:rPr>
          <w:rFonts w:ascii="Times New Roman" w:hAnsi="Times New Roman"/>
          <w:b/>
          <w:sz w:val="22"/>
        </w:rPr>
        <w:t>[5] Sartor, K., Dewallef, P.</w:t>
      </w:r>
      <w:r>
        <w:rPr>
          <w:rFonts w:ascii="Times New Roman" w:hAnsi="Times New Roman"/>
          <w:i/>
          <w:sz w:val="22"/>
        </w:rPr>
        <w:t xml:space="preserve"> (2017). Exergy analysis applied to performance of buildings in Europe.</w:t>
      </w:r>
      <w:r>
        <w:rPr>
          <w:rFonts w:ascii="Times New Roman" w:hAnsi="Times New Roman"/>
          <w:sz w:val="22"/>
        </w:rPr>
        <w:t xml:space="preserve"> Energy and Buildings, 148, 348–354.</w:t>
      </w:r>
    </w:p>
    <w:p>
      <w:pPr>
        <w:pStyle w:val="BibliographyEntry"/>
      </w:pPr>
      <w:r>
        <w:rPr>
          <w:rFonts w:ascii="Times New Roman" w:hAnsi="Times New Roman"/>
          <w:b/>
          <w:sz w:val="22"/>
        </w:rPr>
        <w:t>[6] Lund, H., Werner, S., Wiltshire, R., Svendsen, S.</w:t>
      </w:r>
      <w:r>
        <w:rPr>
          <w:rFonts w:ascii="Times New Roman" w:hAnsi="Times New Roman"/>
          <w:i/>
          <w:sz w:val="22"/>
        </w:rPr>
        <w:t xml:space="preserve"> (2014). 4th Generation District Heating (4GDH).</w:t>
      </w:r>
      <w:r>
        <w:rPr>
          <w:rFonts w:ascii="Times New Roman" w:hAnsi="Times New Roman"/>
          <w:sz w:val="22"/>
        </w:rPr>
        <w:t xml:space="preserve"> Energy, 68, 1–11.</w:t>
      </w:r>
    </w:p>
    <w:p>
      <w:pPr>
        <w:pStyle w:val="BibliographyEntry"/>
      </w:pPr>
      <w:r>
        <w:rPr>
          <w:rFonts w:ascii="Times New Roman" w:hAnsi="Times New Roman"/>
          <w:b/>
          <w:sz w:val="22"/>
        </w:rPr>
        <w:t>[7] Werner, S.</w:t>
      </w:r>
      <w:r>
        <w:rPr>
          <w:rFonts w:ascii="Times New Roman" w:hAnsi="Times New Roman"/>
          <w:i/>
          <w:sz w:val="22"/>
        </w:rPr>
        <w:t xml:space="preserve"> (2017).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[8] IEA DHC</w:t>
      </w:r>
      <w:r>
        <w:rPr>
          <w:rFonts w:ascii="Times New Roman" w:hAnsi="Times New Roman"/>
          <w:i/>
          <w:sz w:val="22"/>
        </w:rPr>
        <w:t xml:space="preserve"> (2024). District Heating and Cooling — Thermal Source Networks.</w:t>
      </w:r>
      <w:r>
        <w:rPr>
          <w:rFonts w:ascii="Times New Roman" w:hAnsi="Times New Roman"/>
          <w:sz w:val="22"/>
        </w:rPr>
        <w:t xml:space="preserve"> International Energy Agency DHC Programme, Paris.</w:t>
      </w:r>
    </w:p>
    <w:p>
      <w:pPr>
        <w:pStyle w:val="BibliographyEntry"/>
      </w:pPr>
      <w:r>
        <w:rPr>
          <w:rFonts w:ascii="Times New Roman" w:hAnsi="Times New Roman"/>
          <w:b/>
          <w:sz w:val="22"/>
        </w:rPr>
        <w:t>[9] Szargut, J., Morris, D.R., Steward, F.R.</w:t>
      </w:r>
      <w:r>
        <w:rPr>
          <w:rFonts w:ascii="Times New Roman" w:hAnsi="Times New Roman"/>
          <w:i/>
          <w:sz w:val="22"/>
        </w:rPr>
        <w:t xml:space="preserve"> (1988). Exergy Analysis of Thermal, Chemical and Metallurgical Processes.</w:t>
      </w:r>
      <w:r>
        <w:rPr>
          <w:rFonts w:ascii="Times New Roman" w:hAnsi="Times New Roman"/>
          <w:sz w:val="22"/>
        </w:rPr>
        <w:t xml:space="preserve"> Hemisphere Publishing Corporation, New York.</w:t>
      </w:r>
    </w:p>
    <w:p>
      <w:pPr>
        <w:pStyle w:val="BibliographyEntry"/>
      </w:pPr>
      <w:r>
        <w:rPr>
          <w:rFonts w:ascii="Times New Roman" w:hAnsi="Times New Roman"/>
          <w:b/>
          <w:sz w:val="22"/>
        </w:rPr>
        <w:t>[10] EnEx Institute</w:t>
      </w:r>
      <w:r>
        <w:rPr>
          <w:rFonts w:ascii="Times New Roman" w:hAnsi="Times New Roman"/>
          <w:i/>
          <w:sz w:val="22"/>
        </w:rPr>
        <w:t xml:space="preserve"> (2025). Fundamentare Conceptuală Exergy Metasystem V4 — Cadrul Termodinamic, Tehnic și Sistemico-Organizatoric.</w:t>
      </w:r>
      <w:r>
        <w:rPr>
          <w:rFonts w:ascii="Times New Roman" w:hAnsi="Times New Roman"/>
          <w:sz w:val="22"/>
        </w:rPr>
        <w:t xml:space="preserve"> Institut Virtual, Timișoara.</w:t>
      </w:r>
    </w:p>
    <w:p>
      <w:pPr>
        <w:pStyle w:val="BibliographyEntry"/>
      </w:pPr>
      <w:r>
        <w:rPr>
          <w:rFonts w:ascii="Times New Roman" w:hAnsi="Times New Roman"/>
          <w:b/>
          <w:sz w:val="22"/>
        </w:rPr>
        <w:t>[11] EnEx Institute</w:t>
      </w:r>
      <w:r>
        <w:rPr>
          <w:rFonts w:ascii="Times New Roman" w:hAnsi="Times New Roman"/>
          <w:i/>
          <w:sz w:val="22"/>
        </w:rPr>
        <w:t xml:space="preserve"> (2025). Model Specification Exergy DigitAll System V4 — P-OPT-1 Quality Matching și Arhitectura EMS.</w:t>
      </w:r>
      <w:r>
        <w:rPr>
          <w:rFonts w:ascii="Times New Roman" w:hAnsi="Times New Roman"/>
          <w:sz w:val="22"/>
        </w:rPr>
        <w:t xml:space="preserve"> EnEx Institute, Bistrița-Năsăud.</w:t>
      </w:r>
    </w:p>
    <w:p>
      <w:pPr>
        <w:pStyle w:val="BibliographyEntry"/>
      </w:pPr>
      <w:r>
        <w:rPr>
          <w:rFonts w:ascii="Times New Roman" w:hAnsi="Times New Roman"/>
          <w:b/>
          <w:sz w:val="22"/>
        </w:rPr>
        <w:t>[12] EnEx Institute</w:t>
      </w:r>
      <w:r>
        <w:rPr>
          <w:rFonts w:ascii="Times New Roman" w:hAnsi="Times New Roman"/>
          <w:i/>
          <w:sz w:val="22"/>
        </w:rPr>
        <w:t xml:space="preserve"> (2025). Raport Analiză Multicriterială Sisteme District Heating 1G–7G, V3.</w:t>
      </w:r>
      <w:r>
        <w:rPr>
          <w:rFonts w:ascii="Times New Roman" w:hAnsi="Times New Roman"/>
          <w:sz w:val="22"/>
        </w:rPr>
        <w:t xml:space="preserve"> EnEx Institute | Exergy Consortium.</w:t>
      </w:r>
    </w:p>
    <w:p>
      <w:pPr>
        <w:pStyle w:val="BibliographyEntry"/>
      </w:pPr>
      <w:r>
        <w:rPr>
          <w:rFonts w:ascii="Times New Roman" w:hAnsi="Times New Roman"/>
          <w:b/>
          <w:sz w:val="22"/>
        </w:rPr>
        <w:t>[13] Moran, M.J., Shapiro, H.N.</w:t>
      </w:r>
      <w:r>
        <w:rPr>
          <w:rFonts w:ascii="Times New Roman" w:hAnsi="Times New Roman"/>
          <w:i/>
          <w:sz w:val="22"/>
        </w:rPr>
        <w:t xml:space="preserve"> (2006). Fundamentals of Engineering Thermodynamics.</w:t>
      </w:r>
      <w:r>
        <w:rPr>
          <w:rFonts w:ascii="Times New Roman" w:hAnsi="Times New Roman"/>
          <w:sz w:val="22"/>
        </w:rPr>
        <w:t xml:space="preserve"> 5th ed. John Wiley &amp; Sons.</w:t>
      </w:r>
    </w:p>
    <w:p>
      <w:pPr>
        <w:pStyle w:val="BibliographyEntry"/>
      </w:pPr>
      <w:r>
        <w:rPr>
          <w:rFonts w:ascii="Times New Roman" w:hAnsi="Times New Roman"/>
          <w:b/>
          <w:sz w:val="22"/>
        </w:rPr>
        <w:t>[14] Directive (EU) 2023/1791 on energy efficiency (recast).</w:t>
      </w:r>
      <w:r>
        <w:rPr>
          <w:rFonts w:ascii="Times New Roman" w:hAnsi="Times New Roman"/>
          <w:i/>
          <w:sz w:val="22"/>
        </w:rPr>
      </w:r>
      <w:r>
        <w:rPr>
          <w:rFonts w:ascii="Times New Roman" w:hAnsi="Times New Roman"/>
          <w:sz w:val="22"/>
        </w:rPr>
        <w:t xml:space="preserve"> Official Journal of the European Union, L 231/1, 20.9.2023.</w:t>
      </w:r>
    </w:p>
    <w:p>
      <w:pPr>
        <w:pStyle w:val="BibliographyEntry"/>
      </w:pPr>
      <w:r>
        <w:rPr>
          <w:rFonts w:ascii="Times New Roman" w:hAnsi="Times New Roman"/>
          <w:b/>
          <w:sz w:val="22"/>
        </w:rPr>
        <w:t>[15] NIST JANAF Thermochemical Tables (4th ed., 2013).</w:t>
      </w:r>
      <w:r>
        <w:rPr>
          <w:rFonts w:ascii="Times New Roman" w:hAnsi="Times New Roman"/>
          <w:i/>
          <w:sz w:val="22"/>
        </w:rPr>
      </w:r>
      <w:r>
        <w:rPr>
          <w:rFonts w:ascii="Times New Roman" w:hAnsi="Times New Roman"/>
          <w:sz w:val="22"/>
        </w:rPr>
        <w:t xml:space="preserve"> National Institute of Standards and Technology, Gaithersburg.</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