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SPORT-TO-ENERGY:</w:t>
      </w:r>
    </w:p>
    <w:p>
      <w:pPr>
        <w:pStyle w:val="Title"/>
      </w:pPr>
      <w:r>
        <w:t>TRANSFORMAREA EFORTULUI FIZIC UMAN ÎN ELECTRICITATE UTILĂ</w:t>
      </w:r>
    </w:p>
    <w:p>
      <w:pPr>
        <w:pStyle w:val="Title"/>
      </w:pPr>
      <w:r>
        <w:t>PRIN CONVERTOARE PIEZOELECTRICE ȘI ELECTROMAGNETICE</w:t>
      </w:r>
    </w:p>
    <w:p>
      <w:pPr>
        <w:pStyle w:val="Title"/>
      </w:pPr>
      <w:r>
        <w:t>ARHITECTURA TEHNICĂ, KPI-URILE ȘI INTEGRAREA ÎN INFRASTRUCTURA COMUNITARĂ</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Paradigma „cetățeanul ca sursă de energie" (Human-as-Energy-Source — HaES) reprezintă una dintre cele mai inovatoare concepte ale energeticii comunitare contemporane. Deși puterea mecanică generată de efortul fizic uman este modest cantitativ (2–5 kWh/capita/an pentru un utilizator activ), valoarea transformatoare a acestei paradigme depășește cu mult parametrii energetici: transformarea cetățeanului dintr-un consumator pasiv de energie într-un producător activ și conștient redefine[șt]e relația fundamentală dintre om și infrastructura energetică comunitară.</w:t>
      </w:r>
    </w:p>
    <w:p>
      <w:pPr/>
      <w:r>
        <w:rPr>
          <w:i/>
        </w:rPr>
        <w:t>Prezenta lucrare realizează caracterizarea completă a sistemului Sport-to-Energy (S2E) — integrat în cadrul Exergy Metasystem (EnEx Institute, 2025) — prin trei perspective complementare: (1) fizica și matematica mecanismelor de conversie — piezoelectric și electromagnetic — cu derivarea modelelor de putere și eficiență; (2) arhitectura tehnică a unității Exergy Box Sport-to-Energy Open-Air (EB-S2E), incluzând echipamentele din materiale naturale, sistemul electric de colectare și conversie DC/AC, pergola SymbiotyX Pod cu panouri PVT, și platforma digitală IoT; (3) cadrul complet de indicatori de performanță (KPI) pe patru axe — energetici, sociali/sănătate, tehnici/operaționali și economici/mediu — cu metodele de calcul și pragurile de acțiune inginerească.</w:t>
      </w:r>
    </w:p>
    <w:p>
      <w:pPr/>
      <w:r>
        <w:rPr>
          <w:i/>
        </w:rPr>
        <w:t>Analiza fizică demonstrează că generatoarele electromagnetice ating eficiențe de conversie de 60–80% pentru echipamente active (biciclete, eliptice, vâslit), în timp ce convertoarele piezoelectrice (dale de pardoseală, stepper) au eficiențe de 25–45%, compensate prin natura pasivă a captării (fiecare pas devine sursă de energie). Modelul matematic al puterii produse de un generator EM este derivat din legea lui Faraday (ε = –N·dΦ/dt), iar modelul piezoelectric din ecuațiile constitutive ale materialelor piezoceramice (PZT/BaTiO₃). Profilul de putere al unei comunități de 500 de membri cu participare de 30% produce 900–1.800 kWh/an — suficient pentru iluminatul public al unui sat mic sau pentru alimentarea electronică a infrastructurii comunitare.</w:t>
      </w:r>
    </w:p>
    <w:p>
      <w:pPr/>
      <w:r>
        <w:rPr>
          <w:i/>
        </w:rPr>
        <w:t>KPI-urile propuse (25 indicatori structurați în 4 categorii) formează un cadru integrat de monitorizare și optimizare, care conectează performanța energetică cu impactul social, sănătatea publică și sustenabilitatea economică. Lucrarea argumentează că valoarea reală a S2E nu este kWh produși, ci ecosistemul de beneficii sistemice: reducerea sedentarismului, conștientizarea energetică, coeziunea comunitară și democrația energetică — toate cuantificate și monitorizate continuu prin platforma DigitAll.</w:t>
      </w:r>
    </w:p>
    <w:p>
      <w:pPr>
        <w:ind w:firstLine="0"/>
      </w:pPr>
    </w:p>
    <w:p>
      <w:pPr>
        <w:pStyle w:val="ChapterHeading"/>
        <w:keepNext/>
      </w:pPr>
      <w:r>
        <w:t>1. Introducere — Cetățeanul ca Sursă de Energie</w:t>
      </w:r>
    </w:p>
    <w:p>
      <w:pPr>
        <w:ind w:firstLine="0"/>
      </w:pPr>
    </w:p>
    <w:p>
      <w:pPr>
        <w:pStyle w:val="SubHeading"/>
        <w:keepNext/>
      </w:pPr>
      <w:r>
        <w:t>1.1 Contextul și motivația</w:t>
      </w:r>
    </w:p>
    <w:p>
      <w:pPr>
        <w:ind w:firstLine="0"/>
      </w:pPr>
    </w:p>
    <w:p>
      <w:pPr/>
      <w:r>
        <w:t>Sistemele energetice ale localităților în tranziție spre neutralitate carbon sunt dominate de un paradox: investițiile masive în producerea de energie regenerabilă (solar, eolian, biomasă) coexistă cu un fond de resurse energetice uman-cinetice sistematic neglijate. Fiecare pas al unui cetățean pe o suprafață dură, fiecare rotire de pedală, fiecare mișcare pe un aparat de fitness reprezintă un flux de energie mecanică — mic individual, dar semnificativ agregat la scara comunitară și, mai ales, transformator din perspectiva relației cetățean–energie.</w:t>
      </w:r>
    </w:p>
    <w:p>
      <w:pPr/>
      <w:r>
        <w:t>Conceptul Human-as-Energy-Source (HaES) nu este nou în literatura de specialitate: Starner (1996) a publicat primul studiu sistematic privind captarea energiei corporale; Paradiso &amp; Starner (2005) au cartografiat sursele de energie ambiantă umane (mers, vorbire, circulație sanguină, diferențe de temperatură); Mitcheson et al. (2008) au clasificat generatoarele de energie ambiantă în inertiale, tensionate și termoelectrice. Cercetările mai recente (Wang et al. 2012, Dagdeviren et al. 2014) au demonstrat potențialul materialelor piezoelectrice flexibile pentru integrarea în îmbrăcăminte și infrastructură.</w:t>
      </w:r>
    </w:p>
    <w:p>
      <w:pPr/>
      <w:r>
        <w:t>Noutatea adusă de sistemul S2E al Exergy Metasystem rezidă nu în mecanismele de conversie în sine — acestea sunt bine documentate — ci în integrarea lor sistemică într-o arhitectură comunitară completă, cu gamificare, tokenizare, monitorizare AI și conectare la infrastructura energetică locală (Exergy HUB). Prezenta lucrare realizează pentru prima dată documentarea științifică completă a acestei arhitecturi integrate, de la fizica fundamentală a conversiei până la KPI-urile operaționale și modelul economic.</w:t>
      </w:r>
    </w:p>
    <w:p>
      <w:pPr>
        <w:ind w:firstLine="0"/>
      </w:pPr>
    </w:p>
    <w:p>
      <w:pPr>
        <w:pStyle w:val="SubHeading"/>
        <w:keepNext/>
      </w:pPr>
      <w:r>
        <w:t>1.2 Puterea mecanică a corpului uman — estimări de referință</w:t>
      </w:r>
    </w:p>
    <w:p>
      <w:pPr>
        <w:ind w:firstLine="0"/>
      </w:pPr>
    </w:p>
    <w:p>
      <w:pPr/>
      <w:r>
        <w:t>Date de referință fiziologice (ACSM Guidelines 2021): (1) Puterea metabolică a unui adult în repaus: ~80 W (metabolism bazal); (2) Mers normal (5 km/h): 200–280 W metabolic, din care ~80–100 W putere mecanică; (3) Ciclism moderat (20 km/h): 120–180 W putere mecanică; (4) Ciclism intens (30 km/h): 200–350 W putere mecanică; (5) Eficiența neuromusculară brută: 20–30% (energie mecanică / energie metabolică). Nota: Puterea mecanică disponibilă pentru conversie este un subset al puterii mecanice totale.</w:t>
      </w:r>
    </w:p>
    <w:p>
      <w:pPr>
        <w:ind w:firstLine="0"/>
      </w:pPr>
    </w:p>
    <w:p>
      <w:pPr>
        <w:pStyle w:val="SubHeading"/>
        <w:keepNext/>
      </w:pPr>
      <w:r>
        <w:t>1.3 Clasificarea mecanismelor de conversie energie umană → electricitate</w:t>
      </w:r>
    </w:p>
    <w:p>
      <w:pPr>
        <w:ind w:firstLine="0"/>
      </w:pPr>
    </w:p>
    <w:p>
      <w:pPr/>
      <w:r>
        <w:t>Conversia energiei mecanice umane în electricitate poate fi realizată prin patru mecanisme principale, clasificate după principiul fizic de conversie: (1) Electromagnetic (EM) — exploatează inductanța electromagnetică (legea lui Faraday) prin mișcarea unui conductor în câmp magnetic; (2) Piezoelectric — exploatează efectul piezoelectric direct (cristale polarizate electric sub deformație mecanică); (3) Electrostatic — exploatează variația capacității unui condensator ca urmare a mișcării; (4) Triboelectric — exploatează electrificarea prin contact și separare a suprafețelor. Sistemul S2E adoptă mecanismele (1) și (2) ca principale, datorită maturității tehnologice, eficienței ridicate pentru niveluri de putere &gt;10W și durabilității superioare.</w:t>
      </w:r>
    </w:p>
    <w:p>
      <w:pPr>
        <w:ind w:firstLine="0"/>
      </w:pPr>
    </w:p>
    <w:p>
      <w:pPr>
        <w:pStyle w:val="ChapterHeading"/>
        <w:keepNext/>
      </w:pPr>
      <w:r>
        <w:t>2. Fizica și Matematica Mecanismelor de Conversie</w:t>
      </w:r>
    </w:p>
    <w:p>
      <w:pPr>
        <w:ind w:firstLine="0"/>
      </w:pPr>
    </w:p>
    <w:p>
      <w:pPr>
        <w:pStyle w:val="SubHeading"/>
        <w:keepNext/>
      </w:pPr>
      <w:r>
        <w:t>2.1 Generatoarele electromagnetice (em) — derivare din legea lui faraday</w:t>
      </w:r>
    </w:p>
    <w:p>
      <w:pPr>
        <w:ind w:firstLine="0"/>
      </w:pPr>
    </w:p>
    <w:p>
      <w:pPr>
        <w:ind w:firstLine="0"/>
      </w:pPr>
    </w:p>
    <w:p>
      <w:pPr>
        <w:pStyle w:val="SubHeading"/>
        <w:keepNext/>
      </w:pPr>
      <w:r>
        <w:t>2.1.1 Principiul de funcționare</w:t>
      </w:r>
    </w:p>
    <w:p>
      <w:pPr>
        <w:ind w:firstLine="0"/>
      </w:pPr>
    </w:p>
    <w:p>
      <w:pPr/>
      <w:r>
        <w:t>Generatorul electromagnetic utilizează legea inducției Faraday-Neumann-Lenz: variația fluxului magnetic prin o buclă conductoare induce o forță electromotoare (FEM). Într-un generator rotativ (bicicletă, eliptică, vâslit), rotorul cu magneți permanenți (NdFeB — neodim-fier-bor, grad N42–N52, B_r = 1.0–1.4 T) se rotește față de statorul cu bobinaj de cupru, generând variații de flux sinusoidale.</w:t>
      </w: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ε(t) =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 xml:space="preserve"> · dΦ/dt =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 xml:space="preserve"> · </w:t>
      </w:r>
      <w:r>
        <w:rPr>
          <w:rFonts w:ascii="Times New Roman" w:hAnsi="Times New Roman"/>
          <w:sz w:val="22"/>
        </w:rPr>
        <w:t>B</w:t>
      </w:r>
      <w:r>
        <w:rPr>
          <w:rFonts w:ascii="Times New Roman" w:hAnsi="Times New Roman"/>
          <w:sz w:val="22"/>
          <w:vertAlign w:val="subscript"/>
        </w:rPr>
        <w:t>r</w:t>
      </w:r>
      <w:r>
        <w:rPr>
          <w:rFonts w:ascii="Times New Roman" w:hAnsi="Times New Roman"/>
          <w:sz w:val="22"/>
        </w:rPr>
        <w:t xml:space="preserve"> · </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 · ω · sin(ω·t + φ₀)</w:t>
      </w:r>
      <w:r>
        <w:rPr>
          <w:rFonts w:ascii="Times New Roman" w:hAnsi="Times New Roman"/>
          <w:sz w:val="22"/>
        </w:rPr>
        <w:tab/>
        <w:t>(1)</w:t>
      </w:r>
    </w:p>
    <w:p>
      <w:pPr>
        <w:ind w:firstLine="0"/>
      </w:pPr>
      <w:r>
        <w:rPr>
          <w:rFonts w:ascii="Times New Roman" w:hAnsi="Times New Roman"/>
          <w:sz w:val="22"/>
        </w:rPr>
        <w:t xml:space="preserve">unde: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 xml:space="preserve"> = număr spire bobinaj; Φ = </w:t>
      </w:r>
      <w:r>
        <w:rPr>
          <w:rFonts w:ascii="Times New Roman" w:hAnsi="Times New Roman"/>
          <w:sz w:val="22"/>
        </w:rPr>
        <w:t>B</w:t>
      </w:r>
      <w:r>
        <w:rPr>
          <w:rFonts w:ascii="Times New Roman" w:hAnsi="Times New Roman"/>
          <w:sz w:val="22"/>
          <w:vertAlign w:val="subscript"/>
        </w:rPr>
        <w:t>r</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·cos(ωt) = flux magnetic total; </w:t>
      </w:r>
      <w:r>
        <w:rPr>
          <w:rFonts w:ascii="Times New Roman" w:hAnsi="Times New Roman"/>
          <w:sz w:val="22"/>
        </w:rPr>
        <w:t>B</w:t>
      </w:r>
      <w:r>
        <w:rPr>
          <w:rFonts w:ascii="Times New Roman" w:hAnsi="Times New Roman"/>
          <w:sz w:val="22"/>
          <w:vertAlign w:val="subscript"/>
        </w:rPr>
        <w:t>r</w:t>
      </w:r>
      <w:r>
        <w:rPr>
          <w:rFonts w:ascii="Times New Roman" w:hAnsi="Times New Roman"/>
          <w:sz w:val="22"/>
        </w:rPr>
        <w:t xml:space="preserve"> = câmp magnetic remanent (T); </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 = arie efectivă stator per pereche de poli (m²); ω = pulsație angulară (rad/s) = 2π·n/60 (n în RPM); φ₀ = faza inițială</w:t>
      </w:r>
    </w:p>
    <w:p>
      <w:pPr>
        <w:ind w:firstLine="0"/>
      </w:pPr>
    </w:p>
    <w:p>
      <w:pPr>
        <w:pStyle w:val="SubHeading"/>
        <w:keepNext/>
      </w:pPr>
      <w:r>
        <w:t>2.1.2 Puterea electrică disponibilă</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P</w:t>
      </w:r>
      <w:r>
        <w:rPr>
          <w:rFonts w:ascii="Times New Roman" w:hAnsi="Times New Roman"/>
          <w:sz w:val="22"/>
          <w:vertAlign w:val="subscript"/>
        </w:rPr>
        <w:t>elec</w:t>
      </w:r>
      <w:r>
        <w:rPr>
          <w:rFonts w:ascii="Times New Roman" w:hAnsi="Times New Roman"/>
          <w:sz w:val="22"/>
        </w:rPr>
        <w:t xml:space="preserve"> = </w:t>
      </w:r>
      <w:r>
        <w:rPr>
          <w:rFonts w:ascii="Times New Roman" w:hAnsi="Times New Roman"/>
          <w:sz w:val="22"/>
        </w:rPr>
        <w:t>ε²</w:t>
      </w:r>
      <w:r>
        <w:rPr>
          <w:rFonts w:ascii="Times New Roman" w:hAnsi="Times New Roman"/>
          <w:sz w:val="22"/>
          <w:vertAlign w:val="subscript"/>
        </w:rPr>
        <w:t>RMS</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int</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sarcina</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sarcina</w:t>
      </w:r>
      <w:r>
        <w:rPr>
          <w:rFonts w:ascii="Times New Roman" w:hAnsi="Times New Roman"/>
          <w:sz w:val="22"/>
        </w:rPr>
        <w:t xml:space="preserve">  =  </w:t>
      </w:r>
      <w:r>
        <w:rPr>
          <w:rFonts w:ascii="Times New Roman" w:hAnsi="Times New Roman"/>
          <w:sz w:val="22"/>
        </w:rPr>
        <w:t>P</w:t>
      </w:r>
      <w:r>
        <w:rPr>
          <w:rFonts w:ascii="Times New Roman" w:hAnsi="Times New Roman"/>
          <w:sz w:val="22"/>
          <w:vertAlign w:val="subscript"/>
        </w:rPr>
        <w:t>max</w:t>
      </w:r>
      <w:r>
        <w:rPr>
          <w:rFonts w:ascii="Times New Roman" w:hAnsi="Times New Roman"/>
          <w:sz w:val="22"/>
        </w:rPr>
        <w:t xml:space="preserve">  la  </w:t>
      </w:r>
      <w:r>
        <w:rPr>
          <w:rFonts w:ascii="Times New Roman" w:hAnsi="Times New Roman"/>
          <w:sz w:val="22"/>
        </w:rPr>
        <w:t>R</w:t>
      </w:r>
      <w:r>
        <w:rPr>
          <w:rFonts w:ascii="Times New Roman" w:hAnsi="Times New Roman"/>
          <w:sz w:val="22"/>
          <w:vertAlign w:val="subscript"/>
        </w:rPr>
        <w:t>sarcina</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int</w:t>
      </w:r>
      <w:r>
        <w:rPr>
          <w:rFonts w:ascii="Times New Roman" w:hAnsi="Times New Roman"/>
          <w:sz w:val="22"/>
        </w:rPr>
        <w:tab/>
        <w:t>(2)</w:t>
      </w:r>
    </w:p>
    <w:p>
      <w:pPr>
        <w:ind w:firstLine="0"/>
      </w:pPr>
      <w:r>
        <w:rPr>
          <w:rFonts w:ascii="Times New Roman" w:hAnsi="Times New Roman"/>
          <w:sz w:val="22"/>
        </w:rPr>
        <w:t>P</w:t>
      </w:r>
      <w:r>
        <w:rPr>
          <w:rFonts w:ascii="Times New Roman" w:hAnsi="Times New Roman"/>
          <w:sz w:val="22"/>
          <w:vertAlign w:val="subscript"/>
        </w:rPr>
        <w:t>max</w:t>
      </w:r>
      <w:r>
        <w:rPr>
          <w:rFonts w:ascii="Times New Roman" w:hAnsi="Times New Roman"/>
          <w:sz w:val="22"/>
        </w:rPr>
        <w:t xml:space="preserve"> = </w:t>
      </w:r>
      <w:r>
        <w:rPr>
          <w:rFonts w:ascii="Times New Roman" w:hAnsi="Times New Roman"/>
          <w:sz w:val="22"/>
        </w:rPr>
        <w:t>ε²</w:t>
      </w:r>
      <w:r>
        <w:rPr>
          <w:rFonts w:ascii="Times New Roman" w:hAnsi="Times New Roman"/>
          <w:sz w:val="22"/>
          <w:vertAlign w:val="subscript"/>
        </w:rPr>
        <w:t>RMS</w:t>
      </w:r>
      <w:r>
        <w:rPr>
          <w:rFonts w:ascii="Times New Roman" w:hAnsi="Times New Roman"/>
          <w:sz w:val="22"/>
        </w:rPr>
        <w:t xml:space="preserve"> / </w:t>
      </w:r>
      <w:r>
        <w:rPr>
          <w:rFonts w:ascii="Times New Roman" w:hAnsi="Times New Roman"/>
          <w:sz w:val="22"/>
        </w:rPr>
        <w:t>(4·R</w:t>
      </w:r>
      <w:r>
        <w:rPr>
          <w:rFonts w:ascii="Times New Roman" w:hAnsi="Times New Roman"/>
          <w:sz w:val="22"/>
          <w:vertAlign w:val="subscript"/>
        </w:rPr>
        <w:t>int</w:t>
      </w:r>
      <w:r>
        <w:rPr>
          <w:rFonts w:ascii="Times New Roman" w:hAnsi="Times New Roman"/>
          <w:sz w:val="22"/>
        </w:rPr>
        <w:t xml:space="preserve">); </w:t>
      </w:r>
      <w:r>
        <w:rPr>
          <w:rFonts w:ascii="Times New Roman" w:hAnsi="Times New Roman"/>
          <w:sz w:val="22"/>
        </w:rPr>
        <w:t>ε</w:t>
      </w:r>
      <w:r>
        <w:rPr>
          <w:rFonts w:ascii="Times New Roman" w:hAnsi="Times New Roman"/>
          <w:sz w:val="22"/>
          <w:vertAlign w:val="subscript"/>
        </w:rPr>
        <w:t>RMS</w:t>
      </w:r>
      <w:r>
        <w:rPr>
          <w:rFonts w:ascii="Times New Roman" w:hAnsi="Times New Roman"/>
          <w:sz w:val="22"/>
        </w:rPr>
        <w:t xml:space="preserve"> =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·B</w:t>
      </w:r>
      <w:r>
        <w:rPr>
          <w:rFonts w:ascii="Times New Roman" w:hAnsi="Times New Roman"/>
          <w:sz w:val="22"/>
          <w:vertAlign w:val="subscript"/>
        </w:rPr>
        <w:t>r</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·ω/√2; Condiție maximizare: </w:t>
      </w:r>
      <w:r>
        <w:rPr>
          <w:rFonts w:ascii="Times New Roman" w:hAnsi="Times New Roman"/>
          <w:sz w:val="22"/>
        </w:rPr>
        <w:t>R</w:t>
      </w:r>
      <w:r>
        <w:rPr>
          <w:rFonts w:ascii="Times New Roman" w:hAnsi="Times New Roman"/>
          <w:sz w:val="22"/>
          <w:vertAlign w:val="subscript"/>
        </w:rPr>
        <w:t>sarcina</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int</w:t>
      </w:r>
      <w:r>
        <w:rPr>
          <w:rFonts w:ascii="Times New Roman" w:hAnsi="Times New Roman"/>
          <w:sz w:val="22"/>
        </w:rPr>
        <w:t xml:space="preserve"> (impedance matching). MPPT (Maximum Power Point Tracking) realizează această condiție dinamic.</w:t>
      </w:r>
    </w:p>
    <w:p>
      <w:pPr/>
      <w:r>
        <w:t>Eficiența totală a unui echipament EM este produsul a trei eficiențe parțiale: mecanică (pedalier, rulmenți), electromechanică (conversia mișcării în FEM) și electrică (pierderile Joule în bobinaj și cablaj). Tabelul 1 prezintă parametrii modelului EM pentru echipamentele S2E:</w:t>
      </w:r>
    </w:p>
    <w:p>
      <w:pPr>
        <w:ind w:firstLine="0"/>
      </w:pPr>
    </w:p>
    <w:p>
      <w:pPr>
        <w:pStyle w:val="TableCaption"/>
      </w:pPr>
      <w:r>
        <w:t>Tabel 1. Parametrii modelului electromagnetic pentru echipamentele S2E. Valorile sunt caracteristice generatoarelor de performanță medie-superioară utilizate în aplicații de fitness cu conversie energetică. Sursă: calcul propriu pe baza Chapman (2005), Hughes &amp; Drury (2019), datele EnEx Institute 2025.</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Parametru Model EM</w:t>
            </w:r>
          </w:p>
        </w:tc>
        <w:tc>
          <w:tcPr>
            <w:tcW w:type="dxa" w:w="1542"/>
          </w:tcPr>
          <w:p>
            <w:pPr>
              <w:spacing w:before="0" w:after="0"/>
              <w:ind w:firstLine="0"/>
              <w:jc w:val="left"/>
            </w:pPr>
            <w:r>
              <w:rPr>
                <w:rFonts w:ascii="Times New Roman" w:hAnsi="Times New Roman"/>
                <w:b/>
                <w:sz w:val="22"/>
              </w:rPr>
              <w:t>Simbol</w:t>
            </w:r>
          </w:p>
        </w:tc>
        <w:tc>
          <w:tcPr>
            <w:tcW w:type="dxa" w:w="1542"/>
          </w:tcPr>
          <w:p>
            <w:pPr>
              <w:spacing w:before="0" w:after="0"/>
              <w:ind w:firstLine="0"/>
              <w:jc w:val="left"/>
            </w:pPr>
            <w:r>
              <w:rPr>
                <w:rFonts w:ascii="Times New Roman" w:hAnsi="Times New Roman"/>
                <w:b/>
                <w:sz w:val="22"/>
              </w:rPr>
              <w:t>Valoare</w:t>
            </w:r>
          </w:p>
        </w:tc>
        <w:tc>
          <w:tcPr>
            <w:tcW w:type="dxa" w:w="1542"/>
          </w:tcPr>
          <w:p>
            <w:pPr>
              <w:spacing w:before="0" w:after="0"/>
              <w:ind w:firstLine="0"/>
              <w:jc w:val="left"/>
            </w:pPr>
            <w:r>
              <w:rPr>
                <w:rFonts w:ascii="Times New Roman" w:hAnsi="Times New Roman"/>
                <w:b/>
                <w:sz w:val="22"/>
              </w:rPr>
              <w:t>Unitate</w:t>
            </w:r>
          </w:p>
        </w:tc>
        <w:tc>
          <w:tcPr>
            <w:tcW w:type="dxa" w:w="1542"/>
          </w:tcPr>
          <w:p>
            <w:pPr>
              <w:spacing w:before="0" w:after="0"/>
              <w:ind w:firstLine="0"/>
              <w:jc w:val="left"/>
            </w:pPr>
            <w:r>
              <w:rPr>
                <w:rFonts w:ascii="Times New Roman" w:hAnsi="Times New Roman"/>
                <w:b/>
                <w:sz w:val="22"/>
              </w:rPr>
              <w:t>Expresie / Relație</w:t>
            </w:r>
          </w:p>
        </w:tc>
      </w:tr>
      <w:tr>
        <w:tc>
          <w:tcPr>
            <w:tcW w:type="dxa" w:w="1542"/>
          </w:tcPr>
          <w:p>
            <w:pPr>
              <w:spacing w:before="0" w:after="0"/>
              <w:ind w:firstLine="0"/>
              <w:jc w:val="left"/>
            </w:pPr>
            <w:r>
              <w:rPr>
                <w:rFonts w:ascii="Times New Roman" w:hAnsi="Times New Roman"/>
                <w:sz w:val="22"/>
              </w:rPr>
              <w:t>Număr spire bobinaj</w:t>
            </w:r>
          </w:p>
        </w:tc>
        <w:tc>
          <w:tcPr>
            <w:tcW w:type="dxa" w:w="1542"/>
          </w:tcPr>
          <w:p>
            <w:pPr>
              <w:spacing w:before="0" w:after="0"/>
              <w:ind w:firstLine="0"/>
              <w:jc w:val="left"/>
            </w:pPr>
            <w:r>
              <w:rPr>
                <w:rFonts w:ascii="Times New Roman" w:hAnsi="Times New Roman"/>
                <w:sz w:val="22"/>
              </w:rPr>
              <w:t>N_s</w:t>
            </w:r>
          </w:p>
        </w:tc>
        <w:tc>
          <w:tcPr>
            <w:tcW w:type="dxa" w:w="1542"/>
          </w:tcPr>
          <w:p>
            <w:pPr>
              <w:spacing w:before="0" w:after="0"/>
              <w:ind w:firstLine="0"/>
              <w:jc w:val="left"/>
            </w:pPr>
            <w:r>
              <w:rPr>
                <w:rFonts w:ascii="Times New Roman" w:hAnsi="Times New Roman"/>
                <w:sz w:val="22"/>
              </w:rPr>
              <w:t>200–800</w:t>
            </w:r>
          </w:p>
        </w:tc>
        <w:tc>
          <w:tcPr>
            <w:tcW w:type="dxa" w:w="1542"/>
          </w:tcPr>
          <w:p>
            <w:pPr>
              <w:spacing w:before="0" w:after="0"/>
              <w:ind w:firstLine="0"/>
              <w:jc w:val="left"/>
            </w:pPr>
            <w:r>
              <w:rPr>
                <w:rFonts w:ascii="Times New Roman" w:hAnsi="Times New Roman"/>
                <w:sz w:val="22"/>
              </w:rPr>
              <w:t>spire</w:t>
            </w:r>
          </w:p>
        </w:tc>
        <w:tc>
          <w:tcPr>
            <w:tcW w:type="dxa" w:w="1542"/>
          </w:tcPr>
          <w:p>
            <w:pPr>
              <w:spacing w:before="0" w:after="0"/>
              <w:ind w:firstLine="0"/>
              <w:jc w:val="left"/>
            </w:pPr>
            <w:r>
              <w:rPr>
                <w:rFonts w:ascii="Times New Roman" w:hAnsi="Times New Roman"/>
                <w:sz w:val="22"/>
              </w:rPr>
              <w:t>Flux: Φ = B·A_stator·cos(θ(t))</w:t>
            </w:r>
          </w:p>
        </w:tc>
      </w:tr>
      <w:tr>
        <w:tc>
          <w:tcPr>
            <w:tcW w:type="dxa" w:w="1542"/>
          </w:tcPr>
          <w:p>
            <w:pPr>
              <w:spacing w:before="0" w:after="0"/>
              <w:ind w:firstLine="0"/>
              <w:jc w:val="left"/>
            </w:pPr>
            <w:r>
              <w:rPr>
                <w:rFonts w:ascii="Times New Roman" w:hAnsi="Times New Roman"/>
                <w:sz w:val="22"/>
              </w:rPr>
              <w:t>Flux magnetic remanenent magnet NdFeB</w:t>
            </w:r>
          </w:p>
        </w:tc>
        <w:tc>
          <w:tcPr>
            <w:tcW w:type="dxa" w:w="1542"/>
          </w:tcPr>
          <w:p>
            <w:pPr>
              <w:spacing w:before="0" w:after="0"/>
              <w:ind w:firstLine="0"/>
              <w:jc w:val="left"/>
            </w:pPr>
            <w:r>
              <w:rPr>
                <w:rFonts w:ascii="Times New Roman" w:hAnsi="Times New Roman"/>
                <w:sz w:val="22"/>
              </w:rPr>
              <w:t>B_r</w:t>
            </w:r>
          </w:p>
        </w:tc>
        <w:tc>
          <w:tcPr>
            <w:tcW w:type="dxa" w:w="1542"/>
          </w:tcPr>
          <w:p>
            <w:pPr>
              <w:spacing w:before="0" w:after="0"/>
              <w:ind w:firstLine="0"/>
              <w:jc w:val="left"/>
            </w:pPr>
            <w:r>
              <w:rPr>
                <w:rFonts w:ascii="Times New Roman" w:hAnsi="Times New Roman"/>
                <w:sz w:val="22"/>
              </w:rPr>
              <w:t>1.0–1.4</w:t>
            </w:r>
          </w:p>
        </w:tc>
        <w:tc>
          <w:tcPr>
            <w:tcW w:type="dxa" w:w="1542"/>
          </w:tcPr>
          <w:p>
            <w:pPr>
              <w:spacing w:before="0" w:after="0"/>
              <w:ind w:firstLine="0"/>
              <w:jc w:val="left"/>
            </w:pPr>
            <w:r>
              <w:rPr>
                <w:rFonts w:ascii="Times New Roman" w:hAnsi="Times New Roman"/>
                <w:sz w:val="22"/>
              </w:rPr>
              <w:t>T</w:t>
            </w:r>
          </w:p>
        </w:tc>
        <w:tc>
          <w:tcPr>
            <w:tcW w:type="dxa" w:w="1542"/>
          </w:tcPr>
          <w:p>
            <w:pPr>
              <w:spacing w:before="0" w:after="0"/>
              <w:ind w:firstLine="0"/>
              <w:jc w:val="left"/>
            </w:pPr>
            <w:r>
              <w:rPr>
                <w:rFonts w:ascii="Times New Roman" w:hAnsi="Times New Roman"/>
                <w:sz w:val="22"/>
              </w:rPr>
              <w:t>Neodim grad N42–N52; B_r=1.2T tipic</w:t>
            </w:r>
          </w:p>
        </w:tc>
      </w:tr>
      <w:tr>
        <w:tc>
          <w:tcPr>
            <w:tcW w:type="dxa" w:w="1542"/>
          </w:tcPr>
          <w:p>
            <w:pPr>
              <w:spacing w:before="0" w:after="0"/>
              <w:ind w:firstLine="0"/>
              <w:jc w:val="left"/>
            </w:pPr>
            <w:r>
              <w:rPr>
                <w:rFonts w:ascii="Times New Roman" w:hAnsi="Times New Roman"/>
                <w:sz w:val="22"/>
              </w:rPr>
              <w:t>FEM instantanee indusă (Faraday)</w:t>
            </w:r>
          </w:p>
        </w:tc>
        <w:tc>
          <w:tcPr>
            <w:tcW w:type="dxa" w:w="1542"/>
          </w:tcPr>
          <w:p>
            <w:pPr>
              <w:spacing w:before="0" w:after="0"/>
              <w:ind w:firstLine="0"/>
              <w:jc w:val="left"/>
            </w:pPr>
            <w:r>
              <w:rPr>
                <w:rFonts w:ascii="Times New Roman" w:hAnsi="Times New Roman"/>
                <w:sz w:val="22"/>
              </w:rPr>
              <w:t>ε(t)</w:t>
            </w:r>
          </w:p>
        </w:tc>
        <w:tc>
          <w:tcPr>
            <w:tcW w:type="dxa" w:w="1542"/>
          </w:tcPr>
          <w:p>
            <w:pPr>
              <w:spacing w:before="0" w:after="0"/>
              <w:ind w:firstLine="0"/>
              <w:jc w:val="left"/>
            </w:pPr>
            <w:r>
              <w:rPr>
                <w:rFonts w:ascii="Times New Roman" w:hAnsi="Times New Roman"/>
                <w:sz w:val="22"/>
              </w:rPr>
              <w:t>Var.</w:t>
            </w:r>
          </w:p>
        </w:tc>
        <w:tc>
          <w:tcPr>
            <w:tcW w:type="dxa" w:w="1542"/>
          </w:tcPr>
          <w:p>
            <w:pPr>
              <w:spacing w:before="0" w:after="0"/>
              <w:ind w:firstLine="0"/>
              <w:jc w:val="left"/>
            </w:pPr>
            <w:r>
              <w:rPr>
                <w:rFonts w:ascii="Times New Roman" w:hAnsi="Times New Roman"/>
                <w:sz w:val="22"/>
              </w:rPr>
              <w:t>V</w:t>
            </w:r>
          </w:p>
        </w:tc>
        <w:tc>
          <w:tcPr>
            <w:tcW w:type="dxa" w:w="1542"/>
          </w:tcPr>
          <w:p>
            <w:pPr>
              <w:spacing w:before="0" w:after="0"/>
              <w:ind w:firstLine="0"/>
              <w:jc w:val="left"/>
            </w:pPr>
            <w:r>
              <w:rPr>
                <w:rFonts w:ascii="Times New Roman" w:hAnsi="Times New Roman"/>
                <w:sz w:val="22"/>
              </w:rPr>
              <w:t>ε(t) = –N_s · dΦ/dt = N_s·B_r·A·ω·sin(ωt)</w:t>
            </w:r>
          </w:p>
        </w:tc>
      </w:tr>
      <w:tr>
        <w:tc>
          <w:tcPr>
            <w:tcW w:type="dxa" w:w="1542"/>
          </w:tcPr>
          <w:p>
            <w:pPr>
              <w:spacing w:before="0" w:after="0"/>
              <w:ind w:firstLine="0"/>
              <w:jc w:val="left"/>
            </w:pPr>
            <w:r>
              <w:rPr>
                <w:rFonts w:ascii="Times New Roman" w:hAnsi="Times New Roman"/>
                <w:sz w:val="22"/>
              </w:rPr>
              <w:t>Frecvența de rotație (bicicletă 70W)</w:t>
            </w:r>
          </w:p>
        </w:tc>
        <w:tc>
          <w:tcPr>
            <w:tcW w:type="dxa" w:w="1542"/>
          </w:tcPr>
          <w:p>
            <w:pPr>
              <w:spacing w:before="0" w:after="0"/>
              <w:ind w:firstLine="0"/>
              <w:jc w:val="left"/>
            </w:pPr>
            <w:r>
              <w:rPr>
                <w:rFonts w:ascii="Times New Roman" w:hAnsi="Times New Roman"/>
                <w:sz w:val="22"/>
              </w:rPr>
              <w:t>n</w:t>
            </w:r>
          </w:p>
        </w:tc>
        <w:tc>
          <w:tcPr>
            <w:tcW w:type="dxa" w:w="1542"/>
          </w:tcPr>
          <w:p>
            <w:pPr>
              <w:spacing w:before="0" w:after="0"/>
              <w:ind w:firstLine="0"/>
              <w:jc w:val="left"/>
            </w:pPr>
            <w:r>
              <w:rPr>
                <w:rFonts w:ascii="Times New Roman" w:hAnsi="Times New Roman"/>
                <w:sz w:val="22"/>
              </w:rPr>
              <w:t>60–120</w:t>
            </w:r>
          </w:p>
        </w:tc>
        <w:tc>
          <w:tcPr>
            <w:tcW w:type="dxa" w:w="1542"/>
          </w:tcPr>
          <w:p>
            <w:pPr>
              <w:spacing w:before="0" w:after="0"/>
              <w:ind w:firstLine="0"/>
              <w:jc w:val="left"/>
            </w:pPr>
            <w:r>
              <w:rPr>
                <w:rFonts w:ascii="Times New Roman" w:hAnsi="Times New Roman"/>
                <w:sz w:val="22"/>
              </w:rPr>
              <w:t>RPM</w:t>
            </w:r>
          </w:p>
        </w:tc>
        <w:tc>
          <w:tcPr>
            <w:tcW w:type="dxa" w:w="1542"/>
          </w:tcPr>
          <w:p>
            <w:pPr>
              <w:spacing w:before="0" w:after="0"/>
              <w:ind w:firstLine="0"/>
              <w:jc w:val="left"/>
            </w:pPr>
            <w:r>
              <w:rPr>
                <w:rFonts w:ascii="Times New Roman" w:hAnsi="Times New Roman"/>
                <w:sz w:val="22"/>
              </w:rPr>
              <w:t>ω = 2π·n/60; la 90 RPM: ω≈9.4 rad/s</w:t>
            </w:r>
          </w:p>
        </w:tc>
      </w:tr>
      <w:tr>
        <w:tc>
          <w:tcPr>
            <w:tcW w:type="dxa" w:w="1542"/>
          </w:tcPr>
          <w:p>
            <w:pPr>
              <w:spacing w:before="0" w:after="0"/>
              <w:ind w:firstLine="0"/>
              <w:jc w:val="left"/>
            </w:pPr>
            <w:r>
              <w:rPr>
                <w:rFonts w:ascii="Times New Roman" w:hAnsi="Times New Roman"/>
                <w:sz w:val="22"/>
              </w:rPr>
              <w:t>Rezistență internă generator</w:t>
            </w:r>
          </w:p>
        </w:tc>
        <w:tc>
          <w:tcPr>
            <w:tcW w:type="dxa" w:w="1542"/>
          </w:tcPr>
          <w:p>
            <w:pPr>
              <w:spacing w:before="0" w:after="0"/>
              <w:ind w:firstLine="0"/>
              <w:jc w:val="left"/>
            </w:pPr>
            <w:r>
              <w:rPr>
                <w:rFonts w:ascii="Times New Roman" w:hAnsi="Times New Roman"/>
                <w:sz w:val="22"/>
              </w:rPr>
              <w:t>R_int</w:t>
            </w:r>
          </w:p>
        </w:tc>
        <w:tc>
          <w:tcPr>
            <w:tcW w:type="dxa" w:w="1542"/>
          </w:tcPr>
          <w:p>
            <w:pPr>
              <w:spacing w:before="0" w:after="0"/>
              <w:ind w:firstLine="0"/>
              <w:jc w:val="left"/>
            </w:pPr>
            <w:r>
              <w:rPr>
                <w:rFonts w:ascii="Times New Roman" w:hAnsi="Times New Roman"/>
                <w:sz w:val="22"/>
              </w:rPr>
              <w:t>1–5</w:t>
            </w:r>
          </w:p>
        </w:tc>
        <w:tc>
          <w:tcPr>
            <w:tcW w:type="dxa" w:w="1542"/>
          </w:tcPr>
          <w:p>
            <w:pPr>
              <w:spacing w:before="0" w:after="0"/>
              <w:ind w:firstLine="0"/>
              <w:jc w:val="left"/>
            </w:pPr>
            <w:r>
              <w:rPr>
                <w:rFonts w:ascii="Times New Roman" w:hAnsi="Times New Roman"/>
                <w:sz w:val="22"/>
              </w:rPr>
              <w:t>Ω</w:t>
            </w:r>
          </w:p>
        </w:tc>
        <w:tc>
          <w:tcPr>
            <w:tcW w:type="dxa" w:w="1542"/>
          </w:tcPr>
          <w:p>
            <w:pPr>
              <w:spacing w:before="0" w:after="0"/>
              <w:ind w:firstLine="0"/>
              <w:jc w:val="left"/>
            </w:pPr>
            <w:r>
              <w:rPr>
                <w:rFonts w:ascii="Times New Roman" w:hAnsi="Times New Roman"/>
                <w:sz w:val="22"/>
              </w:rPr>
              <w:t>Funcție de calibru și lungime fir cupru</w:t>
            </w:r>
          </w:p>
        </w:tc>
      </w:tr>
      <w:tr>
        <w:tc>
          <w:tcPr>
            <w:tcW w:type="dxa" w:w="1542"/>
          </w:tcPr>
          <w:p>
            <w:pPr>
              <w:spacing w:before="0" w:after="0"/>
              <w:ind w:firstLine="0"/>
              <w:jc w:val="left"/>
            </w:pPr>
            <w:r>
              <w:rPr>
                <w:rFonts w:ascii="Times New Roman" w:hAnsi="Times New Roman"/>
                <w:sz w:val="22"/>
              </w:rPr>
              <w:t>Putere electromechanică maximă</w:t>
            </w:r>
          </w:p>
        </w:tc>
        <w:tc>
          <w:tcPr>
            <w:tcW w:type="dxa" w:w="1542"/>
          </w:tcPr>
          <w:p>
            <w:pPr>
              <w:spacing w:before="0" w:after="0"/>
              <w:ind w:firstLine="0"/>
              <w:jc w:val="left"/>
            </w:pPr>
            <w:r>
              <w:rPr>
                <w:rFonts w:ascii="Times New Roman" w:hAnsi="Times New Roman"/>
                <w:sz w:val="22"/>
              </w:rPr>
              <w:t>P_EM_max</w:t>
            </w:r>
          </w:p>
        </w:tc>
        <w:tc>
          <w:tcPr>
            <w:tcW w:type="dxa" w:w="1542"/>
          </w:tcPr>
          <w:p>
            <w:pPr>
              <w:spacing w:before="0" w:after="0"/>
              <w:ind w:firstLine="0"/>
              <w:jc w:val="left"/>
            </w:pPr>
            <w:r>
              <w:rPr>
                <w:rFonts w:ascii="Times New Roman" w:hAnsi="Times New Roman"/>
                <w:sz w:val="22"/>
              </w:rPr>
              <w:t>P_mec·η_EM</w:t>
            </w:r>
          </w:p>
        </w:tc>
        <w:tc>
          <w:tcPr>
            <w:tcW w:type="dxa" w:w="1542"/>
          </w:tcPr>
          <w:p>
            <w:pPr>
              <w:spacing w:before="0" w:after="0"/>
              <w:ind w:firstLine="0"/>
              <w:jc w:val="left"/>
            </w:pPr>
            <w:r>
              <w:rPr>
                <w:rFonts w:ascii="Times New Roman" w:hAnsi="Times New Roman"/>
                <w:sz w:val="22"/>
              </w:rPr>
              <w:t>W</w:t>
            </w:r>
          </w:p>
        </w:tc>
        <w:tc>
          <w:tcPr>
            <w:tcW w:type="dxa" w:w="1542"/>
          </w:tcPr>
          <w:p>
            <w:pPr>
              <w:spacing w:before="0" w:after="0"/>
              <w:ind w:firstLine="0"/>
              <w:jc w:val="left"/>
            </w:pPr>
            <w:r>
              <w:rPr>
                <w:rFonts w:ascii="Times New Roman" w:hAnsi="Times New Roman"/>
                <w:sz w:val="22"/>
              </w:rPr>
              <w:t>η_EM=60–80%; P_mec=F_pedală·v_pedală</w:t>
            </w:r>
          </w:p>
        </w:tc>
      </w:tr>
      <w:tr>
        <w:tc>
          <w:tcPr>
            <w:tcW w:type="dxa" w:w="1542"/>
          </w:tcPr>
          <w:p>
            <w:pPr>
              <w:spacing w:before="0" w:after="0"/>
              <w:ind w:firstLine="0"/>
              <w:jc w:val="left"/>
            </w:pPr>
            <w:r>
              <w:rPr>
                <w:rFonts w:ascii="Times New Roman" w:hAnsi="Times New Roman"/>
                <w:sz w:val="22"/>
              </w:rPr>
              <w:t>Eficiența mecanică pedalier</w:t>
            </w:r>
          </w:p>
        </w:tc>
        <w:tc>
          <w:tcPr>
            <w:tcW w:type="dxa" w:w="1542"/>
          </w:tcPr>
          <w:p>
            <w:pPr>
              <w:spacing w:before="0" w:after="0"/>
              <w:ind w:firstLine="0"/>
              <w:jc w:val="left"/>
            </w:pPr>
            <w:r>
              <w:rPr>
                <w:rFonts w:ascii="Times New Roman" w:hAnsi="Times New Roman"/>
                <w:sz w:val="22"/>
              </w:rPr>
              <w:t>η_mec</w:t>
            </w:r>
          </w:p>
        </w:tc>
        <w:tc>
          <w:tcPr>
            <w:tcW w:type="dxa" w:w="1542"/>
          </w:tcPr>
          <w:p>
            <w:pPr>
              <w:spacing w:before="0" w:after="0"/>
              <w:ind w:firstLine="0"/>
              <w:jc w:val="left"/>
            </w:pPr>
            <w:r>
              <w:rPr>
                <w:rFonts w:ascii="Times New Roman" w:hAnsi="Times New Roman"/>
                <w:sz w:val="22"/>
              </w:rPr>
              <w:t>85–92%</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Frecare lagăre, transmisie lanț/curea</w:t>
            </w:r>
          </w:p>
        </w:tc>
      </w:tr>
      <w:tr>
        <w:tc>
          <w:tcPr>
            <w:tcW w:type="dxa" w:w="1542"/>
          </w:tcPr>
          <w:p>
            <w:pPr>
              <w:spacing w:before="0" w:after="0"/>
              <w:ind w:firstLine="0"/>
              <w:jc w:val="left"/>
            </w:pPr>
            <w:r>
              <w:rPr>
                <w:rFonts w:ascii="Times New Roman" w:hAnsi="Times New Roman"/>
                <w:sz w:val="22"/>
              </w:rPr>
              <w:t>Eficiența electrică generator</w:t>
            </w:r>
          </w:p>
        </w:tc>
        <w:tc>
          <w:tcPr>
            <w:tcW w:type="dxa" w:w="1542"/>
          </w:tcPr>
          <w:p>
            <w:pPr>
              <w:spacing w:before="0" w:after="0"/>
              <w:ind w:firstLine="0"/>
              <w:jc w:val="left"/>
            </w:pPr>
            <w:r>
              <w:rPr>
                <w:rFonts w:ascii="Times New Roman" w:hAnsi="Times New Roman"/>
                <w:sz w:val="22"/>
              </w:rPr>
              <w:t>η_elec</w:t>
            </w:r>
          </w:p>
        </w:tc>
        <w:tc>
          <w:tcPr>
            <w:tcW w:type="dxa" w:w="1542"/>
          </w:tcPr>
          <w:p>
            <w:pPr>
              <w:spacing w:before="0" w:after="0"/>
              <w:ind w:firstLine="0"/>
              <w:jc w:val="left"/>
            </w:pPr>
            <w:r>
              <w:rPr>
                <w:rFonts w:ascii="Times New Roman" w:hAnsi="Times New Roman"/>
                <w:sz w:val="22"/>
              </w:rPr>
              <w:t>75–88%</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Pierderi Joule în R_int + histerezis</w:t>
            </w:r>
          </w:p>
        </w:tc>
      </w:tr>
      <w:tr>
        <w:tc>
          <w:tcPr>
            <w:tcW w:type="dxa" w:w="1542"/>
          </w:tcPr>
          <w:p>
            <w:pPr>
              <w:spacing w:before="0" w:after="0"/>
              <w:ind w:firstLine="0"/>
              <w:jc w:val="left"/>
            </w:pPr>
            <w:r>
              <w:rPr>
                <w:rFonts w:ascii="Times New Roman" w:hAnsi="Times New Roman"/>
                <w:sz w:val="22"/>
              </w:rPr>
              <w:t>Eficiența totală echipament EM</w:t>
            </w:r>
          </w:p>
        </w:tc>
        <w:tc>
          <w:tcPr>
            <w:tcW w:type="dxa" w:w="1542"/>
          </w:tcPr>
          <w:p>
            <w:pPr>
              <w:spacing w:before="0" w:after="0"/>
              <w:ind w:firstLine="0"/>
              <w:jc w:val="left"/>
            </w:pPr>
            <w:r>
              <w:rPr>
                <w:rFonts w:ascii="Times New Roman" w:hAnsi="Times New Roman"/>
                <w:sz w:val="22"/>
              </w:rPr>
              <w:t>η_tot</w:t>
            </w:r>
          </w:p>
        </w:tc>
        <w:tc>
          <w:tcPr>
            <w:tcW w:type="dxa" w:w="1542"/>
          </w:tcPr>
          <w:p>
            <w:pPr>
              <w:spacing w:before="0" w:after="0"/>
              <w:ind w:firstLine="0"/>
              <w:jc w:val="left"/>
            </w:pPr>
            <w:r>
              <w:rPr>
                <w:rFonts w:ascii="Times New Roman" w:hAnsi="Times New Roman"/>
                <w:sz w:val="22"/>
              </w:rPr>
              <w:t>52–80%</w:t>
            </w:r>
          </w:p>
        </w:tc>
        <w:tc>
          <w:tcPr>
            <w:tcW w:type="dxa" w:w="1542"/>
          </w:tcPr>
          <w:p>
            <w:pPr>
              <w:spacing w:before="0" w:after="0"/>
              <w:ind w:firstLine="0"/>
              <w:jc w:val="left"/>
            </w:pPr>
            <w:r>
              <w:rPr>
                <w:rFonts w:ascii="Times New Roman" w:hAnsi="Times New Roman"/>
                <w:sz w:val="22"/>
              </w:rPr>
              <w:t>%</w:t>
            </w:r>
          </w:p>
        </w:tc>
        <w:tc>
          <w:tcPr>
            <w:tcW w:type="dxa" w:w="1542"/>
          </w:tcPr>
          <w:p>
            <w:pPr>
              <w:spacing w:before="0" w:after="0"/>
              <w:ind w:firstLine="0"/>
              <w:jc w:val="left"/>
            </w:pPr>
            <w:r>
              <w:rPr>
                <w:rFonts w:ascii="Times New Roman" w:hAnsi="Times New Roman"/>
                <w:sz w:val="22"/>
              </w:rPr>
              <w:t>η_tot = η_mec · η_elec · η_MPPT</w:t>
            </w:r>
          </w:p>
        </w:tc>
      </w:tr>
    </w:tbl>
    <w:p>
      <w:pPr>
        <w:ind w:firstLine="0"/>
      </w:pPr>
    </w:p>
    <w:p>
      <w:pPr>
        <w:ind w:firstLine="0"/>
      </w:pPr>
    </w:p>
    <w:p>
      <w:pPr>
        <w:pStyle w:val="SubHeading"/>
        <w:keepNext/>
      </w:pPr>
      <w:r>
        <w:t>2.1.3 Calculul numeric — exemplu: bicicletă s2e la 90 rpm, forță 50n</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Date: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 xml:space="preserve"> = 400 spire; </w:t>
      </w:r>
      <w:r>
        <w:rPr>
          <w:rFonts w:ascii="Times New Roman" w:hAnsi="Times New Roman"/>
          <w:sz w:val="22"/>
        </w:rPr>
        <w:t>B</w:t>
      </w:r>
      <w:r>
        <w:rPr>
          <w:rFonts w:ascii="Times New Roman" w:hAnsi="Times New Roman"/>
          <w:sz w:val="22"/>
          <w:vertAlign w:val="subscript"/>
        </w:rPr>
        <w:t>r</w:t>
      </w:r>
      <w:r>
        <w:rPr>
          <w:rFonts w:ascii="Times New Roman" w:hAnsi="Times New Roman"/>
          <w:sz w:val="22"/>
        </w:rPr>
        <w:t xml:space="preserve"> = 1.15 T; </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 = 25 cm² = 0.0025 m²; n = 90 RPM → ω = 9.42 rad/s; </w:t>
      </w:r>
      <w:r>
        <w:rPr>
          <w:rFonts w:ascii="Times New Roman" w:hAnsi="Times New Roman"/>
          <w:sz w:val="22"/>
        </w:rPr>
        <w:t>R</w:t>
      </w:r>
      <w:r>
        <w:rPr>
          <w:rFonts w:ascii="Times New Roman" w:hAnsi="Times New Roman"/>
          <w:sz w:val="22"/>
          <w:vertAlign w:val="subscript"/>
        </w:rPr>
        <w:t>int</w:t>
      </w:r>
      <w:r>
        <w:rPr>
          <w:rFonts w:ascii="Times New Roman" w:hAnsi="Times New Roman"/>
          <w:sz w:val="22"/>
        </w:rPr>
        <w:t xml:space="preserve"> = 2.5 Ω  Calcul FEM: </w:t>
      </w:r>
      <w:r>
        <w:rPr>
          <w:rFonts w:ascii="Times New Roman" w:hAnsi="Times New Roman"/>
          <w:sz w:val="22"/>
        </w:rPr>
        <w:t>ε</w:t>
      </w:r>
      <w:r>
        <w:rPr>
          <w:rFonts w:ascii="Times New Roman" w:hAnsi="Times New Roman"/>
          <w:sz w:val="22"/>
          <w:vertAlign w:val="subscript"/>
        </w:rPr>
        <w:t>max</w:t>
      </w:r>
      <w:r>
        <w:rPr>
          <w:rFonts w:ascii="Times New Roman" w:hAnsi="Times New Roman"/>
          <w:sz w:val="22"/>
        </w:rPr>
        <w:t xml:space="preserve"> = </w:t>
      </w:r>
      <w:r>
        <w:rPr>
          <w:rFonts w:ascii="Times New Roman" w:hAnsi="Times New Roman"/>
          <w:sz w:val="22"/>
        </w:rPr>
        <w:t>N</w:t>
      </w:r>
      <w:r>
        <w:rPr>
          <w:rFonts w:ascii="Times New Roman" w:hAnsi="Times New Roman"/>
          <w:sz w:val="22"/>
          <w:vertAlign w:val="subscript"/>
        </w:rPr>
        <w:t>s</w:t>
      </w:r>
      <w:r>
        <w:rPr>
          <w:rFonts w:ascii="Times New Roman" w:hAnsi="Times New Roman"/>
          <w:sz w:val="22"/>
        </w:rPr>
        <w:t xml:space="preserve"> × </w:t>
      </w:r>
      <w:r>
        <w:rPr>
          <w:rFonts w:ascii="Times New Roman" w:hAnsi="Times New Roman"/>
          <w:sz w:val="22"/>
        </w:rPr>
        <w:t>B</w:t>
      </w:r>
      <w:r>
        <w:rPr>
          <w:rFonts w:ascii="Times New Roman" w:hAnsi="Times New Roman"/>
          <w:sz w:val="22"/>
          <w:vertAlign w:val="subscript"/>
        </w:rPr>
        <w:t>r</w:t>
      </w:r>
      <w:r>
        <w:rPr>
          <w:rFonts w:ascii="Times New Roman" w:hAnsi="Times New Roman"/>
          <w:sz w:val="22"/>
        </w:rPr>
        <w:t xml:space="preserve"> × </w:t>
      </w:r>
      <w:r>
        <w:rPr>
          <w:rFonts w:ascii="Times New Roman" w:hAnsi="Times New Roman"/>
          <w:sz w:val="22"/>
        </w:rPr>
        <w:t>A</w:t>
      </w:r>
      <w:r>
        <w:rPr>
          <w:rFonts w:ascii="Times New Roman" w:hAnsi="Times New Roman"/>
          <w:sz w:val="22"/>
          <w:vertAlign w:val="subscript"/>
        </w:rPr>
        <w:t>s</w:t>
      </w:r>
      <w:r>
        <w:rPr>
          <w:rFonts w:ascii="Times New Roman" w:hAnsi="Times New Roman"/>
          <w:sz w:val="22"/>
        </w:rPr>
        <w:t xml:space="preserve"> × ω = 400 × 1.15 × 0.0025 × 9.42 = 10.83 V </w:t>
      </w:r>
      <w:r>
        <w:rPr>
          <w:rFonts w:ascii="Times New Roman" w:hAnsi="Times New Roman"/>
          <w:sz w:val="22"/>
        </w:rPr>
        <w:t>ε</w:t>
      </w:r>
      <w:r>
        <w:rPr>
          <w:rFonts w:ascii="Times New Roman" w:hAnsi="Times New Roman"/>
          <w:sz w:val="22"/>
          <w:vertAlign w:val="subscript"/>
        </w:rPr>
        <w:t>RMS</w:t>
      </w:r>
      <w:r>
        <w:rPr>
          <w:rFonts w:ascii="Times New Roman" w:hAnsi="Times New Roman"/>
          <w:sz w:val="22"/>
        </w:rPr>
        <w:t xml:space="preserve"> = </w:t>
      </w:r>
      <w:r>
        <w:rPr>
          <w:rFonts w:ascii="Times New Roman" w:hAnsi="Times New Roman"/>
          <w:sz w:val="22"/>
        </w:rPr>
        <w:t>ε</w:t>
      </w:r>
      <w:r>
        <w:rPr>
          <w:rFonts w:ascii="Times New Roman" w:hAnsi="Times New Roman"/>
          <w:sz w:val="22"/>
          <w:vertAlign w:val="subscript"/>
        </w:rPr>
        <w:t>max</w:t>
      </w:r>
      <w:r>
        <w:rPr>
          <w:rFonts w:ascii="Times New Roman" w:hAnsi="Times New Roman"/>
          <w:sz w:val="22"/>
        </w:rPr>
        <w:t xml:space="preserve">/√2 = 7.66 V  Putere maximă (impedance matching): </w:t>
      </w:r>
      <w:r>
        <w:rPr>
          <w:rFonts w:ascii="Times New Roman" w:hAnsi="Times New Roman"/>
          <w:sz w:val="22"/>
        </w:rPr>
        <w:t>P</w:t>
      </w:r>
      <w:r>
        <w:rPr>
          <w:rFonts w:ascii="Times New Roman" w:hAnsi="Times New Roman"/>
          <w:sz w:val="22"/>
          <w:vertAlign w:val="subscript"/>
        </w:rPr>
        <w:t>max</w:t>
      </w:r>
      <w:r>
        <w:rPr>
          <w:rFonts w:ascii="Times New Roman" w:hAnsi="Times New Roman"/>
          <w:sz w:val="22"/>
        </w:rPr>
        <w:t xml:space="preserve"> = </w:t>
      </w:r>
      <w:r>
        <w:rPr>
          <w:rFonts w:ascii="Times New Roman" w:hAnsi="Times New Roman"/>
          <w:sz w:val="22"/>
        </w:rPr>
        <w:t>ε²</w:t>
      </w:r>
      <w:r>
        <w:rPr>
          <w:rFonts w:ascii="Times New Roman" w:hAnsi="Times New Roman"/>
          <w:sz w:val="22"/>
          <w:vertAlign w:val="subscript"/>
        </w:rPr>
        <w:t>RMS</w:t>
      </w:r>
      <w:r>
        <w:rPr>
          <w:rFonts w:ascii="Times New Roman" w:hAnsi="Times New Roman"/>
          <w:sz w:val="22"/>
        </w:rPr>
        <w:t xml:space="preserve"> / </w:t>
      </w:r>
      <w:r>
        <w:rPr>
          <w:rFonts w:ascii="Times New Roman" w:hAnsi="Times New Roman"/>
          <w:sz w:val="22"/>
        </w:rPr>
        <w:t>(4·R</w:t>
      </w:r>
      <w:r>
        <w:rPr>
          <w:rFonts w:ascii="Times New Roman" w:hAnsi="Times New Roman"/>
          <w:sz w:val="22"/>
          <w:vertAlign w:val="subscript"/>
        </w:rPr>
        <w:t>int</w:t>
      </w:r>
      <w:r>
        <w:rPr>
          <w:rFonts w:ascii="Times New Roman" w:hAnsi="Times New Roman"/>
          <w:sz w:val="22"/>
        </w:rPr>
        <w:t xml:space="preserve">) = 58.6 / 10 = 5.86 W per pereche de poli Pentru 12 perechi de poli (generator multipol): </w:t>
      </w:r>
      <w:r>
        <w:rPr>
          <w:rFonts w:ascii="Times New Roman" w:hAnsi="Times New Roman"/>
          <w:sz w:val="22"/>
        </w:rPr>
        <w:t>P</w:t>
      </w:r>
      <w:r>
        <w:rPr>
          <w:rFonts w:ascii="Times New Roman" w:hAnsi="Times New Roman"/>
          <w:sz w:val="22"/>
          <w:vertAlign w:val="subscript"/>
        </w:rPr>
        <w:t>max</w:t>
      </w:r>
      <w:r>
        <w:rPr>
          <w:rFonts w:ascii="Times New Roman" w:hAnsi="Times New Roman"/>
          <w:sz w:val="22"/>
        </w:rPr>
        <w:t xml:space="preserve"> ≈ 70 W  La 70 RPM (pedalat mediu), </w:t>
      </w:r>
      <w:r>
        <w:rPr>
          <w:rFonts w:ascii="Times New Roman" w:hAnsi="Times New Roman"/>
          <w:sz w:val="22"/>
        </w:rPr>
        <w:t>P</w:t>
      </w:r>
      <w:r>
        <w:rPr>
          <w:rFonts w:ascii="Times New Roman" w:hAnsi="Times New Roman"/>
          <w:sz w:val="22"/>
          <w:vertAlign w:val="subscript"/>
        </w:rPr>
        <w:t>elec</w:t>
      </w:r>
      <w:r>
        <w:rPr>
          <w:rFonts w:ascii="Times New Roman" w:hAnsi="Times New Roman"/>
          <w:sz w:val="22"/>
        </w:rPr>
        <w:t xml:space="preserve"> ≈ 45 W; la 110 RPM (intens), </w:t>
      </w:r>
      <w:r>
        <w:rPr>
          <w:rFonts w:ascii="Times New Roman" w:hAnsi="Times New Roman"/>
          <w:sz w:val="22"/>
        </w:rPr>
        <w:t>P</w:t>
      </w:r>
      <w:r>
        <w:rPr>
          <w:rFonts w:ascii="Times New Roman" w:hAnsi="Times New Roman"/>
          <w:sz w:val="22"/>
          <w:vertAlign w:val="subscript"/>
        </w:rPr>
        <w:t>elec</w:t>
      </w:r>
      <w:r>
        <w:rPr>
          <w:rFonts w:ascii="Times New Roman" w:hAnsi="Times New Roman"/>
          <w:sz w:val="22"/>
        </w:rPr>
        <w:t xml:space="preserve"> ≈ 105 W — în acord cu specificațiile Tabelului 1.</w:t>
      </w:r>
      <w:r>
        <w:rPr>
          <w:rFonts w:ascii="Times New Roman" w:hAnsi="Times New Roman"/>
          <w:sz w:val="22"/>
        </w:rPr>
        <w:tab/>
        <w:t>(3)</w:t>
      </w:r>
    </w:p>
    <w:p>
      <w:pPr>
        <w:ind w:firstLine="0"/>
      </w:pPr>
    </w:p>
    <w:p>
      <w:pPr>
        <w:pStyle w:val="SubHeading"/>
        <w:keepNext/>
      </w:pPr>
      <w:r>
        <w:t>2.2 Convertoarele piezoelectrice — ecuațiile constitutive</w:t>
      </w:r>
    </w:p>
    <w:p>
      <w:pPr>
        <w:ind w:firstLine="0"/>
      </w:pPr>
    </w:p>
    <w:p>
      <w:pPr>
        <w:ind w:firstLine="0"/>
      </w:pPr>
    </w:p>
    <w:p>
      <w:pPr>
        <w:pStyle w:val="SubHeading"/>
        <w:keepNext/>
      </w:pPr>
      <w:r>
        <w:t>2.2.1 Principiul efectului piezoelectric direct</w:t>
      </w:r>
    </w:p>
    <w:p>
      <w:pPr>
        <w:ind w:firstLine="0"/>
      </w:pPr>
    </w:p>
    <w:p>
      <w:pPr/>
      <w:r>
        <w:t>Efectul piezoelectric direct (descoperit de Pierre și Jacques Curie, 1880) este proprietatea unor materiale cristaline anizotrope (cuarț, PZT — plumb-zirconat-titanat, BaTiO₃ — titanat de bariu, PVDF — polifluorură de vinilidență) de a genera o polarizare electrică proporțională cu deformația mecanică aplicată. Relațiile constitutive liniare ale materialului piezoelectric, în notație tensorială compactă (IEEE Std. 176):</w:t>
      </w: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S = </w:t>
      </w:r>
      <w:r>
        <w:rPr>
          <w:rFonts w:ascii="Times New Roman" w:hAnsi="Times New Roman"/>
          <w:sz w:val="22"/>
        </w:rPr>
        <w:t>s</w:t>
      </w:r>
      <w:r>
        <w:rPr>
          <w:rFonts w:ascii="Times New Roman" w:hAnsi="Times New Roman"/>
          <w:sz w:val="22"/>
          <w:vertAlign w:val="subscript"/>
        </w:rPr>
        <w:t>E</w:t>
      </w:r>
      <w:r>
        <w:rPr>
          <w:rFonts w:ascii="Times New Roman" w:hAnsi="Times New Roman"/>
          <w:sz w:val="22"/>
        </w:rPr>
        <w:t xml:space="preserve"> · T + d^T · E  |  D = d · T + ε^T · E</w:t>
      </w:r>
      <w:r>
        <w:rPr>
          <w:rFonts w:ascii="Times New Roman" w:hAnsi="Times New Roman"/>
          <w:sz w:val="22"/>
        </w:rPr>
        <w:tab/>
        <w:t>(4)</w:t>
      </w:r>
    </w:p>
    <w:p>
      <w:pPr>
        <w:ind w:firstLine="0"/>
      </w:pPr>
      <w:r>
        <w:rPr>
          <w:rFonts w:ascii="Times New Roman" w:hAnsi="Times New Roman"/>
          <w:sz w:val="22"/>
        </w:rPr>
        <w:t xml:space="preserve">unde: S = deformație mecanică (strain tensor) [–]; T = tensiunea mecanică (stress tensor) [N/m²]; E = câmp electric [V/m]; D = deplasare electrică [C/m²]; </w:t>
      </w:r>
      <w:r>
        <w:rPr>
          <w:rFonts w:ascii="Times New Roman" w:hAnsi="Times New Roman"/>
          <w:sz w:val="22"/>
        </w:rPr>
        <w:t>s</w:t>
      </w:r>
      <w:r>
        <w:rPr>
          <w:rFonts w:ascii="Times New Roman" w:hAnsi="Times New Roman"/>
          <w:sz w:val="22"/>
          <w:vertAlign w:val="subscript"/>
        </w:rPr>
        <w:t>E</w:t>
      </w:r>
      <w:r>
        <w:rPr>
          <w:rFonts w:ascii="Times New Roman" w:hAnsi="Times New Roman"/>
          <w:sz w:val="22"/>
        </w:rPr>
        <w:t xml:space="preserve"> = complianța mecanică la E=const. [m²/N]; d = matrice coeficienți piezoelectrici [C/N = m/V]; ε^T = permitivitate electrică la T=const. [F/m]</w:t>
      </w:r>
    </w:p>
    <w:p>
      <w:pPr>
        <w:ind w:firstLine="0"/>
      </w:pPr>
    </w:p>
    <w:p>
      <w:pPr>
        <w:pStyle w:val="SubHeading"/>
        <w:keepNext/>
      </w:pPr>
      <w:r>
        <w:t>2.2.2 Tensiunea și puterea generate</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V</w:t>
      </w:r>
      <w:r>
        <w:rPr>
          <w:rFonts w:ascii="Times New Roman" w:hAnsi="Times New Roman"/>
          <w:sz w:val="22"/>
          <w:vertAlign w:val="subscript"/>
        </w:rPr>
        <w:t>oc</w:t>
      </w:r>
      <w:r>
        <w:rPr>
          <w:rFonts w:ascii="Times New Roman" w:hAnsi="Times New Roman"/>
          <w:sz w:val="22"/>
        </w:rPr>
        <w:t xml:space="preserve"> = d₃₃ · F · t / (ε₃₃^T · A)  =  g₃₃ · T · t</w:t>
      </w:r>
      <w:r>
        <w:rPr>
          <w:rFonts w:ascii="Times New Roman" w:hAnsi="Times New Roman"/>
          <w:sz w:val="22"/>
        </w:rPr>
        <w:tab/>
        <w:t>(5)</w:t>
      </w:r>
    </w:p>
    <w:p>
      <w:pPr>
        <w:ind w:firstLine="0"/>
      </w:pPr>
      <w:r>
        <w:rPr>
          <w:rFonts w:ascii="Times New Roman" w:hAnsi="Times New Roman"/>
          <w:sz w:val="22"/>
        </w:rPr>
        <w:t>unde: d₃₃ = coeficient piezoelectric longitudinal [C/N]; F = forță aplicată [N]; t = grosime element [m]; ε₃₃^T = permitivitate la efort constant [F/m]; A = suprafață activă [m²]; g₃₃ = d₃₃/ε₃₃^T = coeficient tensiune piezoelectric [Vm/N]</w:t>
      </w:r>
    </w:p>
    <w:p>
      <w:pPr>
        <w:ind w:firstLine="0"/>
        <w:tabs>
          <w:tab w:val="center" w:pos="3855"/>
          <w:tab w:val="right" w:pos="7710"/>
        </w:tabs>
        <w:jc w:val="left"/>
      </w:pPr>
      <w:r>
        <w:rPr>
          <w:rFonts w:ascii="Times New Roman" w:hAnsi="Times New Roman"/>
          <w:sz w:val="22"/>
        </w:rPr>
        <w:tab/>
      </w:r>
      <w:r>
        <w:rPr>
          <w:rFonts w:ascii="Times New Roman" w:hAnsi="Times New Roman"/>
          <w:sz w:val="22"/>
        </w:rPr>
        <w:t>P</w:t>
      </w:r>
      <w:r>
        <w:rPr>
          <w:rFonts w:ascii="Times New Roman" w:hAnsi="Times New Roman"/>
          <w:sz w:val="22"/>
          <w:vertAlign w:val="subscript"/>
        </w:rPr>
        <w:t>piezo_max</w:t>
      </w:r>
      <w:r>
        <w:rPr>
          <w:rFonts w:ascii="Times New Roman" w:hAnsi="Times New Roman"/>
          <w:sz w:val="22"/>
        </w:rPr>
        <w:t xml:space="preserve"> = </w:t>
      </w:r>
      <w:r>
        <w:rPr>
          <w:rFonts w:ascii="Times New Roman" w:hAnsi="Times New Roman"/>
          <w:sz w:val="22"/>
        </w:rPr>
        <w:t>V²</w:t>
      </w:r>
      <w:r>
        <w:rPr>
          <w:rFonts w:ascii="Times New Roman" w:hAnsi="Times New Roman"/>
          <w:sz w:val="22"/>
          <w:vertAlign w:val="subscript"/>
        </w:rPr>
        <w:t>oc</w:t>
      </w:r>
      <w:r>
        <w:rPr>
          <w:rFonts w:ascii="Times New Roman" w:hAnsi="Times New Roman"/>
          <w:sz w:val="22"/>
        </w:rPr>
        <w:t xml:space="preserve"> / </w:t>
      </w:r>
      <w:r>
        <w:rPr>
          <w:rFonts w:ascii="Times New Roman" w:hAnsi="Times New Roman"/>
          <w:sz w:val="22"/>
        </w:rPr>
        <w:t>(4·R</w:t>
      </w:r>
      <w:r>
        <w:rPr>
          <w:rFonts w:ascii="Times New Roman" w:hAnsi="Times New Roman"/>
          <w:sz w:val="22"/>
          <w:vertAlign w:val="subscript"/>
        </w:rPr>
        <w:t>opt</w:t>
      </w:r>
      <w:r>
        <w:rPr>
          <w:rFonts w:ascii="Times New Roman" w:hAnsi="Times New Roman"/>
          <w:sz w:val="22"/>
        </w:rPr>
        <w:t xml:space="preserve">)  cu  </w:t>
      </w:r>
      <w:r>
        <w:rPr>
          <w:rFonts w:ascii="Times New Roman" w:hAnsi="Times New Roman"/>
          <w:sz w:val="22"/>
        </w:rPr>
        <w:t>R</w:t>
      </w:r>
      <w:r>
        <w:rPr>
          <w:rFonts w:ascii="Times New Roman" w:hAnsi="Times New Roman"/>
          <w:sz w:val="22"/>
          <w:vertAlign w:val="subscript"/>
        </w:rPr>
        <w:t>opt</w:t>
      </w:r>
      <w:r>
        <w:rPr>
          <w:rFonts w:ascii="Times New Roman" w:hAnsi="Times New Roman"/>
          <w:sz w:val="22"/>
        </w:rPr>
        <w:t xml:space="preserve"> = </w:t>
      </w:r>
      <w:r>
        <w:rPr>
          <w:rFonts w:ascii="Times New Roman" w:hAnsi="Times New Roman"/>
          <w:sz w:val="22"/>
        </w:rPr>
        <w:t>1/(2π·f·C</w:t>
      </w:r>
      <w:r>
        <w:rPr>
          <w:rFonts w:ascii="Times New Roman" w:hAnsi="Times New Roman"/>
          <w:sz w:val="22"/>
          <w:vertAlign w:val="subscript"/>
        </w:rPr>
        <w:t>p</w:t>
      </w:r>
      <w:r>
        <w:rPr>
          <w:rFonts w:ascii="Times New Roman" w:hAnsi="Times New Roman"/>
          <w:sz w:val="22"/>
        </w:rPr>
        <w:t>)</w:t>
      </w:r>
      <w:r>
        <w:rPr>
          <w:rFonts w:ascii="Times New Roman" w:hAnsi="Times New Roman"/>
          <w:sz w:val="22"/>
        </w:rPr>
        <w:tab/>
        <w:t>(6)</w:t>
      </w:r>
    </w:p>
    <w:p>
      <w:pPr>
        <w:ind w:firstLine="0"/>
      </w:pPr>
      <w:r>
        <w:rPr>
          <w:rFonts w:ascii="Times New Roman" w:hAnsi="Times New Roman"/>
          <w:sz w:val="22"/>
        </w:rPr>
        <w:t xml:space="preserve">unde: </w:t>
      </w:r>
      <w:r>
        <w:rPr>
          <w:rFonts w:ascii="Times New Roman" w:hAnsi="Times New Roman"/>
          <w:sz w:val="22"/>
        </w:rPr>
        <w:t>C</w:t>
      </w:r>
      <w:r>
        <w:rPr>
          <w:rFonts w:ascii="Times New Roman" w:hAnsi="Times New Roman"/>
          <w:sz w:val="22"/>
          <w:vertAlign w:val="subscript"/>
        </w:rPr>
        <w:t>p</w:t>
      </w:r>
      <w:r>
        <w:rPr>
          <w:rFonts w:ascii="Times New Roman" w:hAnsi="Times New Roman"/>
          <w:sz w:val="22"/>
        </w:rPr>
        <w:t xml:space="preserve"> = ε₃₃^T·A/t = capacitatea internă a elementului [F]; f = frecvența de excitație [Hz]; </w:t>
      </w:r>
      <w:r>
        <w:rPr>
          <w:rFonts w:ascii="Times New Roman" w:hAnsi="Times New Roman"/>
          <w:sz w:val="22"/>
        </w:rPr>
        <w:t>R</w:t>
      </w:r>
      <w:r>
        <w:rPr>
          <w:rFonts w:ascii="Times New Roman" w:hAnsi="Times New Roman"/>
          <w:sz w:val="22"/>
          <w:vertAlign w:val="subscript"/>
        </w:rPr>
        <w:t>opt</w:t>
      </w:r>
      <w:r>
        <w:rPr>
          <w:rFonts w:ascii="Times New Roman" w:hAnsi="Times New Roman"/>
          <w:sz w:val="22"/>
        </w:rPr>
        <w:t xml:space="preserve"> = rezistența optimă de sarcină (impedance matching). La f = 1.5 Hz (pas normal), </w:t>
      </w:r>
      <w:r>
        <w:rPr>
          <w:rFonts w:ascii="Times New Roman" w:hAnsi="Times New Roman"/>
          <w:sz w:val="22"/>
        </w:rPr>
        <w:t>R</w:t>
      </w:r>
      <w:r>
        <w:rPr>
          <w:rFonts w:ascii="Times New Roman" w:hAnsi="Times New Roman"/>
          <w:sz w:val="22"/>
          <w:vertAlign w:val="subscript"/>
        </w:rPr>
        <w:t>opt</w:t>
      </w:r>
      <w:r>
        <w:rPr>
          <w:rFonts w:ascii="Times New Roman" w:hAnsi="Times New Roman"/>
          <w:sz w:val="22"/>
        </w:rPr>
        <w:t xml:space="preserve"> ~ 100 kΩ–10 MΩ → necesită circuite de colectare specializate (SECE, SSHI).</w:t>
      </w:r>
    </w:p>
    <w:p>
      <w:pPr/>
      <w:r>
        <w:t>Tabelul 2 prezintă parametrii modelului piezoelectric pentru materialele și geometriile utilizate în sistemul S2E:</w:t>
      </w:r>
    </w:p>
    <w:p>
      <w:pPr>
        <w:ind w:firstLine="0"/>
      </w:pPr>
    </w:p>
    <w:p>
      <w:pPr>
        <w:pStyle w:val="TableCaption"/>
      </w:pPr>
      <w:r>
        <w:t>Tabel 2. Parametrii modelului piezoelectric pentru convertoarele S2E. Valorile d₃₃ și k² sunt conform IEEE Std. 176-1987 și datasheeturilor producătorilor (PI Ceramics, APC International). Sursă: calcul propriu + date fabricanți.</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Model Piezoelectric</w:t>
            </w:r>
          </w:p>
        </w:tc>
        <w:tc>
          <w:tcPr>
            <w:tcW w:type="dxa" w:w="1285"/>
          </w:tcPr>
          <w:p>
            <w:pPr>
              <w:spacing w:before="0" w:after="0"/>
              <w:ind w:firstLine="0"/>
              <w:jc w:val="left"/>
            </w:pPr>
            <w:r>
              <w:rPr>
                <w:rFonts w:ascii="Times New Roman" w:hAnsi="Times New Roman"/>
                <w:b/>
                <w:sz w:val="22"/>
              </w:rPr>
              <w:t>Simbol</w:t>
            </w:r>
          </w:p>
        </w:tc>
        <w:tc>
          <w:tcPr>
            <w:tcW w:type="dxa" w:w="1285"/>
          </w:tcPr>
          <w:p>
            <w:pPr>
              <w:spacing w:before="0" w:after="0"/>
              <w:ind w:firstLine="0"/>
              <w:jc w:val="left"/>
            </w:pPr>
            <w:r>
              <w:rPr>
                <w:rFonts w:ascii="Times New Roman" w:hAnsi="Times New Roman"/>
                <w:b/>
                <w:sz w:val="22"/>
              </w:rPr>
              <w:t>Valoare tipică</w:t>
            </w:r>
          </w:p>
        </w:tc>
        <w:tc>
          <w:tcPr>
            <w:tcW w:type="dxa" w:w="1285"/>
          </w:tcPr>
          <w:p>
            <w:pPr>
              <w:spacing w:before="0" w:after="0"/>
              <w:ind w:firstLine="0"/>
              <w:jc w:val="left"/>
            </w:pPr>
            <w:r>
              <w:rPr>
                <w:rFonts w:ascii="Times New Roman" w:hAnsi="Times New Roman"/>
                <w:b/>
                <w:sz w:val="22"/>
              </w:rPr>
              <w:t>Unitate</w:t>
            </w:r>
          </w:p>
        </w:tc>
        <w:tc>
          <w:tcPr>
            <w:tcW w:type="dxa" w:w="1285"/>
          </w:tcPr>
          <w:p>
            <w:pPr>
              <w:spacing w:before="0" w:after="0"/>
              <w:ind w:firstLine="0"/>
              <w:jc w:val="left"/>
            </w:pPr>
            <w:r>
              <w:rPr>
                <w:rFonts w:ascii="Times New Roman" w:hAnsi="Times New Roman"/>
                <w:b/>
                <w:sz w:val="22"/>
              </w:rPr>
              <w:t>Material / Referință</w:t>
            </w:r>
          </w:p>
        </w:tc>
        <w:tc>
          <w:tcPr>
            <w:tcW w:type="dxa" w:w="1285"/>
          </w:tcPr>
          <w:p>
            <w:pPr>
              <w:spacing w:before="0" w:after="0"/>
              <w:ind w:firstLine="0"/>
              <w:jc w:val="left"/>
            </w:pPr>
            <w:r>
              <w:rPr>
                <w:rFonts w:ascii="Times New Roman" w:hAnsi="Times New Roman"/>
                <w:b/>
                <w:sz w:val="22"/>
              </w:rPr>
              <w:t>Observație</w:t>
            </w:r>
          </w:p>
        </w:tc>
      </w:tr>
      <w:tr>
        <w:tc>
          <w:tcPr>
            <w:tcW w:type="dxa" w:w="1285"/>
          </w:tcPr>
          <w:p>
            <w:pPr>
              <w:spacing w:before="0" w:after="0"/>
              <w:ind w:firstLine="0"/>
              <w:jc w:val="left"/>
            </w:pPr>
            <w:r>
              <w:rPr>
                <w:rFonts w:ascii="Times New Roman" w:hAnsi="Times New Roman"/>
                <w:sz w:val="22"/>
              </w:rPr>
              <w:t>Coeficient piezoelectric (tensiune)</w:t>
            </w:r>
          </w:p>
        </w:tc>
        <w:tc>
          <w:tcPr>
            <w:tcW w:type="dxa" w:w="1285"/>
          </w:tcPr>
          <w:p>
            <w:pPr>
              <w:spacing w:before="0" w:after="0"/>
              <w:ind w:firstLine="0"/>
              <w:jc w:val="left"/>
            </w:pPr>
            <w:r>
              <w:rPr>
                <w:rFonts w:ascii="Times New Roman" w:hAnsi="Times New Roman"/>
                <w:sz w:val="22"/>
              </w:rPr>
              <w:t>d₃₃</w:t>
            </w:r>
          </w:p>
        </w:tc>
        <w:tc>
          <w:tcPr>
            <w:tcW w:type="dxa" w:w="1285"/>
          </w:tcPr>
          <w:p>
            <w:pPr>
              <w:spacing w:before="0" w:after="0"/>
              <w:ind w:firstLine="0"/>
              <w:jc w:val="left"/>
            </w:pPr>
            <w:r>
              <w:rPr>
                <w:rFonts w:ascii="Times New Roman" w:hAnsi="Times New Roman"/>
                <w:sz w:val="22"/>
              </w:rPr>
              <w:t>250–600</w:t>
            </w:r>
          </w:p>
        </w:tc>
        <w:tc>
          <w:tcPr>
            <w:tcW w:type="dxa" w:w="1285"/>
          </w:tcPr>
          <w:p>
            <w:pPr>
              <w:spacing w:before="0" w:after="0"/>
              <w:ind w:firstLine="0"/>
              <w:jc w:val="left"/>
            </w:pPr>
            <w:r>
              <w:rPr>
                <w:rFonts w:ascii="Times New Roman" w:hAnsi="Times New Roman"/>
                <w:sz w:val="22"/>
              </w:rPr>
              <w:t>pC/N</w:t>
            </w:r>
          </w:p>
        </w:tc>
        <w:tc>
          <w:tcPr>
            <w:tcW w:type="dxa" w:w="1285"/>
          </w:tcPr>
          <w:p>
            <w:pPr>
              <w:spacing w:before="0" w:after="0"/>
              <w:ind w:firstLine="0"/>
              <w:jc w:val="left"/>
            </w:pPr>
            <w:r>
              <w:rPr>
                <w:rFonts w:ascii="Times New Roman" w:hAnsi="Times New Roman"/>
                <w:sz w:val="22"/>
              </w:rPr>
              <w:t>PZT-5H; BaTiO₃ ~190 pC/N</w:t>
            </w:r>
          </w:p>
        </w:tc>
        <w:tc>
          <w:tcPr>
            <w:tcW w:type="dxa" w:w="1285"/>
          </w:tcPr>
          <w:p>
            <w:pPr>
              <w:spacing w:before="0" w:after="0"/>
              <w:ind w:firstLine="0"/>
              <w:jc w:val="left"/>
            </w:pPr>
            <w:r>
              <w:rPr>
                <w:rFonts w:ascii="Times New Roman" w:hAnsi="Times New Roman"/>
                <w:sz w:val="22"/>
              </w:rPr>
              <w:t>d₃₃ determină tensiunea generată per Newton aplicat</w:t>
            </w:r>
          </w:p>
        </w:tc>
      </w:tr>
      <w:tr>
        <w:tc>
          <w:tcPr>
            <w:tcW w:type="dxa" w:w="1285"/>
          </w:tcPr>
          <w:p>
            <w:pPr>
              <w:spacing w:before="0" w:after="0"/>
              <w:ind w:firstLine="0"/>
              <w:jc w:val="left"/>
            </w:pPr>
            <w:r>
              <w:rPr>
                <w:rFonts w:ascii="Times New Roman" w:hAnsi="Times New Roman"/>
                <w:sz w:val="22"/>
              </w:rPr>
              <w:t>Coeficient coupling electromecanic</w:t>
            </w:r>
          </w:p>
        </w:tc>
        <w:tc>
          <w:tcPr>
            <w:tcW w:type="dxa" w:w="1285"/>
          </w:tcPr>
          <w:p>
            <w:pPr>
              <w:spacing w:before="0" w:after="0"/>
              <w:ind w:firstLine="0"/>
              <w:jc w:val="left"/>
            </w:pPr>
            <w:r>
              <w:rPr>
                <w:rFonts w:ascii="Times New Roman" w:hAnsi="Times New Roman"/>
                <w:sz w:val="22"/>
              </w:rPr>
              <w:t>k²</w:t>
            </w:r>
          </w:p>
        </w:tc>
        <w:tc>
          <w:tcPr>
            <w:tcW w:type="dxa" w:w="1285"/>
          </w:tcPr>
          <w:p>
            <w:pPr>
              <w:spacing w:before="0" w:after="0"/>
              <w:ind w:firstLine="0"/>
              <w:jc w:val="left"/>
            </w:pPr>
            <w:r>
              <w:rPr>
                <w:rFonts w:ascii="Times New Roman" w:hAnsi="Times New Roman"/>
                <w:sz w:val="22"/>
              </w:rPr>
              <w:t>0.40–0.75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PZT-5H k²≈0.75; PVDF k²≈0.10</w:t>
            </w:r>
          </w:p>
        </w:tc>
        <w:tc>
          <w:tcPr>
            <w:tcW w:type="dxa" w:w="1285"/>
          </w:tcPr>
          <w:p>
            <w:pPr>
              <w:spacing w:before="0" w:after="0"/>
              <w:ind w:firstLine="0"/>
              <w:jc w:val="left"/>
            </w:pPr>
            <w:r>
              <w:rPr>
                <w:rFonts w:ascii="Times New Roman" w:hAnsi="Times New Roman"/>
                <w:sz w:val="22"/>
              </w:rPr>
              <w:t>k² = energie electrică / energie mecanică input total</w:t>
            </w:r>
          </w:p>
        </w:tc>
      </w:tr>
      <w:tr>
        <w:tc>
          <w:tcPr>
            <w:tcW w:type="dxa" w:w="1285"/>
          </w:tcPr>
          <w:p>
            <w:pPr>
              <w:spacing w:before="0" w:after="0"/>
              <w:ind w:firstLine="0"/>
              <w:jc w:val="left"/>
            </w:pPr>
            <w:r>
              <w:rPr>
                <w:rFonts w:ascii="Times New Roman" w:hAnsi="Times New Roman"/>
                <w:sz w:val="22"/>
              </w:rPr>
              <w:t>Constanta de forță specifică element</w:t>
            </w:r>
          </w:p>
        </w:tc>
        <w:tc>
          <w:tcPr>
            <w:tcW w:type="dxa" w:w="1285"/>
          </w:tcPr>
          <w:p>
            <w:pPr>
              <w:spacing w:before="0" w:after="0"/>
              <w:ind w:firstLine="0"/>
              <w:jc w:val="left"/>
            </w:pPr>
            <w:r>
              <w:rPr>
                <w:rFonts w:ascii="Times New Roman" w:hAnsi="Times New Roman"/>
                <w:sz w:val="22"/>
              </w:rPr>
              <w:t>α</w:t>
            </w:r>
          </w:p>
        </w:tc>
        <w:tc>
          <w:tcPr>
            <w:tcW w:type="dxa" w:w="1285"/>
          </w:tcPr>
          <w:p>
            <w:pPr>
              <w:spacing w:before="0" w:after="0"/>
              <w:ind w:firstLine="0"/>
              <w:jc w:val="left"/>
            </w:pPr>
            <w:r>
              <w:rPr>
                <w:rFonts w:ascii="Times New Roman" w:hAnsi="Times New Roman"/>
                <w:sz w:val="22"/>
              </w:rPr>
              <w:t>0.5–2.0</w:t>
            </w:r>
          </w:p>
        </w:tc>
        <w:tc>
          <w:tcPr>
            <w:tcW w:type="dxa" w:w="1285"/>
          </w:tcPr>
          <w:p>
            <w:pPr>
              <w:spacing w:before="0" w:after="0"/>
              <w:ind w:firstLine="0"/>
              <w:jc w:val="left"/>
            </w:pPr>
            <w:r>
              <w:rPr>
                <w:rFonts w:ascii="Times New Roman" w:hAnsi="Times New Roman"/>
                <w:sz w:val="22"/>
              </w:rPr>
              <w:t>N/μm</w:t>
            </w:r>
          </w:p>
        </w:tc>
        <w:tc>
          <w:tcPr>
            <w:tcW w:type="dxa" w:w="1285"/>
          </w:tcPr>
          <w:p>
            <w:pPr>
              <w:spacing w:before="0" w:after="0"/>
              <w:ind w:firstLine="0"/>
              <w:jc w:val="left"/>
            </w:pPr>
            <w:r>
              <w:rPr>
                <w:rFonts w:ascii="Times New Roman" w:hAnsi="Times New Roman"/>
                <w:sz w:val="22"/>
              </w:rPr>
              <w:t>Funcție de geometrie și material</w:t>
            </w:r>
          </w:p>
        </w:tc>
        <w:tc>
          <w:tcPr>
            <w:tcW w:type="dxa" w:w="1285"/>
          </w:tcPr>
          <w:p>
            <w:pPr>
              <w:spacing w:before="0" w:after="0"/>
              <w:ind w:firstLine="0"/>
              <w:jc w:val="left"/>
            </w:pPr>
            <w:r>
              <w:rPr>
                <w:rFonts w:ascii="Times New Roman" w:hAnsi="Times New Roman"/>
                <w:sz w:val="22"/>
              </w:rPr>
              <w:t>Rigiditate piezo; determină deformarea sub sarcină</w:t>
            </w:r>
          </w:p>
        </w:tc>
      </w:tr>
      <w:tr>
        <w:tc>
          <w:tcPr>
            <w:tcW w:type="dxa" w:w="1285"/>
          </w:tcPr>
          <w:p>
            <w:pPr>
              <w:spacing w:before="0" w:after="0"/>
              <w:ind w:firstLine="0"/>
              <w:jc w:val="left"/>
            </w:pPr>
            <w:r>
              <w:rPr>
                <w:rFonts w:ascii="Times New Roman" w:hAnsi="Times New Roman"/>
                <w:sz w:val="22"/>
              </w:rPr>
              <w:t>Capacitate internă element</w:t>
            </w:r>
          </w:p>
        </w:tc>
        <w:tc>
          <w:tcPr>
            <w:tcW w:type="dxa" w:w="1285"/>
          </w:tcPr>
          <w:p>
            <w:pPr>
              <w:spacing w:before="0" w:after="0"/>
              <w:ind w:firstLine="0"/>
              <w:jc w:val="left"/>
            </w:pPr>
            <w:r>
              <w:rPr>
                <w:rFonts w:ascii="Times New Roman" w:hAnsi="Times New Roman"/>
                <w:sz w:val="22"/>
              </w:rPr>
              <w:t>C_p</w:t>
            </w:r>
          </w:p>
        </w:tc>
        <w:tc>
          <w:tcPr>
            <w:tcW w:type="dxa" w:w="1285"/>
          </w:tcPr>
          <w:p>
            <w:pPr>
              <w:spacing w:before="0" w:after="0"/>
              <w:ind w:firstLine="0"/>
              <w:jc w:val="left"/>
            </w:pPr>
            <w:r>
              <w:rPr>
                <w:rFonts w:ascii="Times New Roman" w:hAnsi="Times New Roman"/>
                <w:sz w:val="22"/>
              </w:rPr>
              <w:t>50–500</w:t>
            </w:r>
          </w:p>
        </w:tc>
        <w:tc>
          <w:tcPr>
            <w:tcW w:type="dxa" w:w="1285"/>
          </w:tcPr>
          <w:p>
            <w:pPr>
              <w:spacing w:before="0" w:after="0"/>
              <w:ind w:firstLine="0"/>
              <w:jc w:val="left"/>
            </w:pPr>
            <w:r>
              <w:rPr>
                <w:rFonts w:ascii="Times New Roman" w:hAnsi="Times New Roman"/>
                <w:sz w:val="22"/>
              </w:rPr>
              <w:t>nF</w:t>
            </w:r>
          </w:p>
        </w:tc>
        <w:tc>
          <w:tcPr>
            <w:tcW w:type="dxa" w:w="1285"/>
          </w:tcPr>
          <w:p>
            <w:pPr>
              <w:spacing w:before="0" w:after="0"/>
              <w:ind w:firstLine="0"/>
              <w:jc w:val="left"/>
            </w:pPr>
            <w:r>
              <w:rPr>
                <w:rFonts w:ascii="Times New Roman" w:hAnsi="Times New Roman"/>
                <w:sz w:val="22"/>
              </w:rPr>
              <w:t>Per element 20×20mm</w:t>
            </w:r>
          </w:p>
        </w:tc>
        <w:tc>
          <w:tcPr>
            <w:tcW w:type="dxa" w:w="1285"/>
          </w:tcPr>
          <w:p>
            <w:pPr>
              <w:spacing w:before="0" w:after="0"/>
              <w:ind w:firstLine="0"/>
              <w:jc w:val="left"/>
            </w:pPr>
            <w:r>
              <w:rPr>
                <w:rFonts w:ascii="Times New Roman" w:hAnsi="Times New Roman"/>
                <w:sz w:val="22"/>
              </w:rPr>
              <w:t>Determină impedanța optimă de sarcină</w:t>
            </w:r>
          </w:p>
        </w:tc>
      </w:tr>
      <w:tr>
        <w:tc>
          <w:tcPr>
            <w:tcW w:type="dxa" w:w="1285"/>
          </w:tcPr>
          <w:p>
            <w:pPr>
              <w:spacing w:before="0" w:after="0"/>
              <w:ind w:firstLine="0"/>
              <w:jc w:val="left"/>
            </w:pPr>
            <w:r>
              <w:rPr>
                <w:rFonts w:ascii="Times New Roman" w:hAnsi="Times New Roman"/>
                <w:sz w:val="22"/>
              </w:rPr>
              <w:t>Tensiune în circuit deschis (F=500N)</w:t>
            </w:r>
          </w:p>
        </w:tc>
        <w:tc>
          <w:tcPr>
            <w:tcW w:type="dxa" w:w="1285"/>
          </w:tcPr>
          <w:p>
            <w:pPr>
              <w:spacing w:before="0" w:after="0"/>
              <w:ind w:firstLine="0"/>
              <w:jc w:val="left"/>
            </w:pPr>
            <w:r>
              <w:rPr>
                <w:rFonts w:ascii="Times New Roman" w:hAnsi="Times New Roman"/>
                <w:sz w:val="22"/>
              </w:rPr>
              <w:t>V_oc</w:t>
            </w:r>
          </w:p>
        </w:tc>
        <w:tc>
          <w:tcPr>
            <w:tcW w:type="dxa" w:w="1285"/>
          </w:tcPr>
          <w:p>
            <w:pPr>
              <w:spacing w:before="0" w:after="0"/>
              <w:ind w:firstLine="0"/>
              <w:jc w:val="left"/>
            </w:pPr>
            <w:r>
              <w:rPr>
                <w:rFonts w:ascii="Times New Roman" w:hAnsi="Times New Roman"/>
                <w:sz w:val="22"/>
              </w:rPr>
              <w:t>15–45</w:t>
            </w:r>
          </w:p>
        </w:tc>
        <w:tc>
          <w:tcPr>
            <w:tcW w:type="dxa" w:w="1285"/>
          </w:tcPr>
          <w:p>
            <w:pPr>
              <w:spacing w:before="0" w:after="0"/>
              <w:ind w:firstLine="0"/>
              <w:jc w:val="left"/>
            </w:pPr>
            <w:r>
              <w:rPr>
                <w:rFonts w:ascii="Times New Roman" w:hAnsi="Times New Roman"/>
                <w:sz w:val="22"/>
              </w:rPr>
              <w:t>V_DC</w:t>
            </w:r>
          </w:p>
        </w:tc>
        <w:tc>
          <w:tcPr>
            <w:tcW w:type="dxa" w:w="1285"/>
          </w:tcPr>
          <w:p>
            <w:pPr>
              <w:spacing w:before="0" w:after="0"/>
              <w:ind w:firstLine="0"/>
              <w:jc w:val="left"/>
            </w:pPr>
            <w:r>
              <w:rPr>
                <w:rFonts w:ascii="Times New Roman" w:hAnsi="Times New Roman"/>
                <w:sz w:val="22"/>
              </w:rPr>
              <w:t>Calcul: V_oc=d₃₃·F/(α·C_p)</w:t>
            </w:r>
          </w:p>
        </w:tc>
        <w:tc>
          <w:tcPr>
            <w:tcW w:type="dxa" w:w="1285"/>
          </w:tcPr>
          <w:p>
            <w:pPr>
              <w:spacing w:before="0" w:after="0"/>
              <w:ind w:firstLine="0"/>
              <w:jc w:val="left"/>
            </w:pPr>
            <w:r>
              <w:rPr>
                <w:rFonts w:ascii="Times New Roman" w:hAnsi="Times New Roman"/>
                <w:sz w:val="22"/>
              </w:rPr>
              <w:t>Tensiune în circuit deschis la forță tipică de pași</w:t>
            </w:r>
          </w:p>
        </w:tc>
      </w:tr>
      <w:tr>
        <w:tc>
          <w:tcPr>
            <w:tcW w:type="dxa" w:w="1285"/>
          </w:tcPr>
          <w:p>
            <w:pPr>
              <w:spacing w:before="0" w:after="0"/>
              <w:ind w:firstLine="0"/>
              <w:jc w:val="left"/>
            </w:pPr>
            <w:r>
              <w:rPr>
                <w:rFonts w:ascii="Times New Roman" w:hAnsi="Times New Roman"/>
                <w:sz w:val="22"/>
              </w:rPr>
              <w:t>Putere maximă transferabilă</w:t>
            </w:r>
          </w:p>
        </w:tc>
        <w:tc>
          <w:tcPr>
            <w:tcW w:type="dxa" w:w="1285"/>
          </w:tcPr>
          <w:p>
            <w:pPr>
              <w:spacing w:before="0" w:after="0"/>
              <w:ind w:firstLine="0"/>
              <w:jc w:val="left"/>
            </w:pPr>
            <w:r>
              <w:rPr>
                <w:rFonts w:ascii="Times New Roman" w:hAnsi="Times New Roman"/>
                <w:sz w:val="22"/>
              </w:rPr>
              <w:t>P_max</w:t>
            </w:r>
          </w:p>
        </w:tc>
        <w:tc>
          <w:tcPr>
            <w:tcW w:type="dxa" w:w="1285"/>
          </w:tcPr>
          <w:p>
            <w:pPr>
              <w:spacing w:before="0" w:after="0"/>
              <w:ind w:firstLine="0"/>
              <w:jc w:val="left"/>
            </w:pPr>
            <w:r>
              <w:rPr>
                <w:rFonts w:ascii="Times New Roman" w:hAnsi="Times New Roman"/>
                <w:sz w:val="22"/>
              </w:rPr>
              <w:t>2–8</w:t>
            </w:r>
          </w:p>
        </w:tc>
        <w:tc>
          <w:tcPr>
            <w:tcW w:type="dxa" w:w="1285"/>
          </w:tcPr>
          <w:p>
            <w:pPr>
              <w:spacing w:before="0" w:after="0"/>
              <w:ind w:firstLine="0"/>
              <w:jc w:val="left"/>
            </w:pPr>
            <w:r>
              <w:rPr>
                <w:rFonts w:ascii="Times New Roman" w:hAnsi="Times New Roman"/>
                <w:sz w:val="22"/>
              </w:rPr>
              <w:t>W/element</w:t>
            </w:r>
          </w:p>
        </w:tc>
        <w:tc>
          <w:tcPr>
            <w:tcW w:type="dxa" w:w="1285"/>
          </w:tcPr>
          <w:p>
            <w:pPr>
              <w:spacing w:before="0" w:after="0"/>
              <w:ind w:firstLine="0"/>
              <w:jc w:val="left"/>
            </w:pPr>
            <w:r>
              <w:rPr>
                <w:rFonts w:ascii="Times New Roman" w:hAnsi="Times New Roman"/>
                <w:sz w:val="22"/>
              </w:rPr>
              <w:t>Maxim la R_sarcina = 1/(ω·C_p)</w:t>
            </w:r>
          </w:p>
        </w:tc>
        <w:tc>
          <w:tcPr>
            <w:tcW w:type="dxa" w:w="1285"/>
          </w:tcPr>
          <w:p>
            <w:pPr>
              <w:spacing w:before="0" w:after="0"/>
              <w:ind w:firstLine="0"/>
              <w:jc w:val="left"/>
            </w:pPr>
            <w:r>
              <w:rPr>
                <w:rFonts w:ascii="Times New Roman" w:hAnsi="Times New Roman"/>
                <w:sz w:val="22"/>
              </w:rPr>
              <w:t>Impedance matching obligatoriu prin MPPT</w:t>
            </w:r>
          </w:p>
        </w:tc>
      </w:tr>
      <w:tr>
        <w:tc>
          <w:tcPr>
            <w:tcW w:type="dxa" w:w="1285"/>
          </w:tcPr>
          <w:p>
            <w:pPr>
              <w:spacing w:before="0" w:after="0"/>
              <w:ind w:firstLine="0"/>
              <w:jc w:val="left"/>
            </w:pPr>
            <w:r>
              <w:rPr>
                <w:rFonts w:ascii="Times New Roman" w:hAnsi="Times New Roman"/>
                <w:sz w:val="22"/>
              </w:rPr>
              <w:t>Forță tipică pas pietonal</w:t>
            </w:r>
          </w:p>
        </w:tc>
        <w:tc>
          <w:tcPr>
            <w:tcW w:type="dxa" w:w="1285"/>
          </w:tcPr>
          <w:p>
            <w:pPr>
              <w:spacing w:before="0" w:after="0"/>
              <w:ind w:firstLine="0"/>
              <w:jc w:val="left"/>
            </w:pPr>
            <w:r>
              <w:rPr>
                <w:rFonts w:ascii="Times New Roman" w:hAnsi="Times New Roman"/>
                <w:sz w:val="22"/>
              </w:rPr>
              <w:t>F_pas</w:t>
            </w:r>
          </w:p>
        </w:tc>
        <w:tc>
          <w:tcPr>
            <w:tcW w:type="dxa" w:w="1285"/>
          </w:tcPr>
          <w:p>
            <w:pPr>
              <w:spacing w:before="0" w:after="0"/>
              <w:ind w:firstLine="0"/>
              <w:jc w:val="left"/>
            </w:pPr>
            <w:r>
              <w:rPr>
                <w:rFonts w:ascii="Times New Roman" w:hAnsi="Times New Roman"/>
                <w:sz w:val="22"/>
              </w:rPr>
              <w:t>400–800</w:t>
            </w:r>
          </w:p>
        </w:tc>
        <w:tc>
          <w:tcPr>
            <w:tcW w:type="dxa" w:w="1285"/>
          </w:tcPr>
          <w:p>
            <w:pPr>
              <w:spacing w:before="0" w:after="0"/>
              <w:ind w:firstLine="0"/>
              <w:jc w:val="left"/>
            </w:pPr>
            <w:r>
              <w:rPr>
                <w:rFonts w:ascii="Times New Roman" w:hAnsi="Times New Roman"/>
                <w:sz w:val="22"/>
              </w:rPr>
              <w:t>N</w:t>
            </w:r>
          </w:p>
        </w:tc>
        <w:tc>
          <w:tcPr>
            <w:tcW w:type="dxa" w:w="1285"/>
          </w:tcPr>
          <w:p>
            <w:pPr>
              <w:spacing w:before="0" w:after="0"/>
              <w:ind w:firstLine="0"/>
              <w:jc w:val="left"/>
            </w:pPr>
            <w:r>
              <w:rPr>
                <w:rFonts w:ascii="Times New Roman" w:hAnsi="Times New Roman"/>
                <w:sz w:val="22"/>
              </w:rPr>
              <w:t>Om 70 kg, viteză normală</w:t>
            </w:r>
          </w:p>
        </w:tc>
        <w:tc>
          <w:tcPr>
            <w:tcW w:type="dxa" w:w="1285"/>
          </w:tcPr>
          <w:p>
            <w:pPr>
              <w:spacing w:before="0" w:after="0"/>
              <w:ind w:firstLine="0"/>
              <w:jc w:val="left"/>
            </w:pPr>
            <w:r>
              <w:rPr>
                <w:rFonts w:ascii="Times New Roman" w:hAnsi="Times New Roman"/>
                <w:sz w:val="22"/>
              </w:rPr>
              <w:t>Forță variabilă; frecy contact ~1–3 Hz la mers normal</w:t>
            </w:r>
          </w:p>
        </w:tc>
      </w:tr>
      <w:tr>
        <w:tc>
          <w:tcPr>
            <w:tcW w:type="dxa" w:w="1285"/>
          </w:tcPr>
          <w:p>
            <w:pPr>
              <w:spacing w:before="0" w:after="0"/>
              <w:ind w:firstLine="0"/>
              <w:jc w:val="left"/>
            </w:pPr>
            <w:r>
              <w:rPr>
                <w:rFonts w:ascii="Times New Roman" w:hAnsi="Times New Roman"/>
                <w:sz w:val="22"/>
              </w:rPr>
              <w:t>Durată contact sol/pas</w:t>
            </w:r>
          </w:p>
        </w:tc>
        <w:tc>
          <w:tcPr>
            <w:tcW w:type="dxa" w:w="1285"/>
          </w:tcPr>
          <w:p>
            <w:pPr>
              <w:spacing w:before="0" w:after="0"/>
              <w:ind w:firstLine="0"/>
              <w:jc w:val="left"/>
            </w:pPr>
            <w:r>
              <w:rPr>
                <w:rFonts w:ascii="Times New Roman" w:hAnsi="Times New Roman"/>
                <w:sz w:val="22"/>
              </w:rPr>
              <w:t>t_contact</w:t>
            </w:r>
          </w:p>
        </w:tc>
        <w:tc>
          <w:tcPr>
            <w:tcW w:type="dxa" w:w="1285"/>
          </w:tcPr>
          <w:p>
            <w:pPr>
              <w:spacing w:before="0" w:after="0"/>
              <w:ind w:firstLine="0"/>
              <w:jc w:val="left"/>
            </w:pPr>
            <w:r>
              <w:rPr>
                <w:rFonts w:ascii="Times New Roman" w:hAnsi="Times New Roman"/>
                <w:sz w:val="22"/>
              </w:rPr>
              <w:t>0.15–0.35</w:t>
            </w:r>
          </w:p>
        </w:tc>
        <w:tc>
          <w:tcPr>
            <w:tcW w:type="dxa" w:w="1285"/>
          </w:tcPr>
          <w:p>
            <w:pPr>
              <w:spacing w:before="0" w:after="0"/>
              <w:ind w:firstLine="0"/>
              <w:jc w:val="left"/>
            </w:pPr>
            <w:r>
              <w:rPr>
                <w:rFonts w:ascii="Times New Roman" w:hAnsi="Times New Roman"/>
                <w:sz w:val="22"/>
              </w:rPr>
              <w:t>s</w:t>
            </w:r>
          </w:p>
        </w:tc>
        <w:tc>
          <w:tcPr>
            <w:tcW w:type="dxa" w:w="1285"/>
          </w:tcPr>
          <w:p>
            <w:pPr>
              <w:spacing w:before="0" w:after="0"/>
              <w:ind w:firstLine="0"/>
              <w:jc w:val="left"/>
            </w:pPr>
            <w:r>
              <w:rPr>
                <w:rFonts w:ascii="Times New Roman" w:hAnsi="Times New Roman"/>
                <w:sz w:val="22"/>
              </w:rPr>
              <w:t>Funcție de viteză de deplasare</w:t>
            </w:r>
          </w:p>
        </w:tc>
        <w:tc>
          <w:tcPr>
            <w:tcW w:type="dxa" w:w="1285"/>
          </w:tcPr>
          <w:p>
            <w:pPr>
              <w:spacing w:before="0" w:after="0"/>
              <w:ind w:firstLine="0"/>
              <w:jc w:val="left"/>
            </w:pPr>
            <w:r>
              <w:rPr>
                <w:rFonts w:ascii="Times New Roman" w:hAnsi="Times New Roman"/>
                <w:sz w:val="22"/>
              </w:rPr>
              <w:t>Determină puterea instantanee P=F·v_deform</w:t>
            </w:r>
          </w:p>
        </w:tc>
      </w:tr>
    </w:tbl>
    <w:p>
      <w:pPr>
        <w:ind w:firstLine="0"/>
      </w:pPr>
    </w:p>
    <w:p>
      <w:pPr>
        <w:ind w:firstLine="0"/>
      </w:pPr>
    </w:p>
    <w:p>
      <w:pPr>
        <w:pStyle w:val="SubHeading"/>
        <w:keepNext/>
      </w:pPr>
      <w:r>
        <w:t>2.2.3 Calculul numeric — exemplu: dală piezoelectrică (pzt-5h, 20×20cm)</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 xml:space="preserve">Date: d₃₃ = 580 pC/N; ε₃₃^T = 3.400·ε₀ = 3.01×10⁻⁸ F/m; A = 0.04 m²; t = 5 mm = 0.005 m; F = 600 N (pas adult 70kg); f = 1.8 Hz  Tensiune circuit deschis: </w:t>
      </w:r>
      <w:r>
        <w:rPr>
          <w:rFonts w:ascii="Times New Roman" w:hAnsi="Times New Roman"/>
          <w:sz w:val="22"/>
        </w:rPr>
        <w:t>V</w:t>
      </w:r>
      <w:r>
        <w:rPr>
          <w:rFonts w:ascii="Times New Roman" w:hAnsi="Times New Roman"/>
          <w:sz w:val="22"/>
          <w:vertAlign w:val="subscript"/>
        </w:rPr>
        <w:t>oc</w:t>
      </w:r>
      <w:r>
        <w:rPr>
          <w:rFonts w:ascii="Times New Roman" w:hAnsi="Times New Roman"/>
          <w:sz w:val="22"/>
        </w:rPr>
        <w:t xml:space="preserve"> = d₃₃·F·t/(ε₃₃^T·A) = (580×10⁻¹²×600×0.005)/(3.01×10⁻⁸×0.04) = 1.74×10⁻⁶/1.204×10⁻⁹ ≈ 14.5 V  Capacitate internă: </w:t>
      </w:r>
      <w:r>
        <w:rPr>
          <w:rFonts w:ascii="Times New Roman" w:hAnsi="Times New Roman"/>
          <w:sz w:val="22"/>
        </w:rPr>
        <w:t>C</w:t>
      </w:r>
      <w:r>
        <w:rPr>
          <w:rFonts w:ascii="Times New Roman" w:hAnsi="Times New Roman"/>
          <w:sz w:val="22"/>
          <w:vertAlign w:val="subscript"/>
        </w:rPr>
        <w:t>p</w:t>
      </w:r>
      <w:r>
        <w:rPr>
          <w:rFonts w:ascii="Times New Roman" w:hAnsi="Times New Roman"/>
          <w:sz w:val="22"/>
        </w:rPr>
        <w:t xml:space="preserve"> = ε₃₃^T·A/t = 3.01×10⁻⁸×0.04/0.005 = 2.41×10⁻⁷ F = 241 nF Rezistență optimă: </w:t>
      </w:r>
      <w:r>
        <w:rPr>
          <w:rFonts w:ascii="Times New Roman" w:hAnsi="Times New Roman"/>
          <w:sz w:val="22"/>
        </w:rPr>
        <w:t>R</w:t>
      </w:r>
      <w:r>
        <w:rPr>
          <w:rFonts w:ascii="Times New Roman" w:hAnsi="Times New Roman"/>
          <w:sz w:val="22"/>
          <w:vertAlign w:val="subscript"/>
        </w:rPr>
        <w:t>opt</w:t>
      </w:r>
      <w:r>
        <w:rPr>
          <w:rFonts w:ascii="Times New Roman" w:hAnsi="Times New Roman"/>
          <w:sz w:val="22"/>
        </w:rPr>
        <w:t xml:space="preserve"> = 1/(2π×1.8×241×10⁻⁹) ≈ 366 kΩ  Putere maximă per element: </w:t>
      </w:r>
      <w:r>
        <w:rPr>
          <w:rFonts w:ascii="Times New Roman" w:hAnsi="Times New Roman"/>
          <w:sz w:val="22"/>
        </w:rPr>
        <w:t>P</w:t>
      </w:r>
      <w:r>
        <w:rPr>
          <w:rFonts w:ascii="Times New Roman" w:hAnsi="Times New Roman"/>
          <w:sz w:val="22"/>
          <w:vertAlign w:val="subscript"/>
        </w:rPr>
        <w:t>max</w:t>
      </w:r>
      <w:r>
        <w:rPr>
          <w:rFonts w:ascii="Times New Roman" w:hAnsi="Times New Roman"/>
          <w:sz w:val="22"/>
        </w:rPr>
        <w:t xml:space="preserve"> = </w:t>
      </w:r>
      <w:r>
        <w:rPr>
          <w:rFonts w:ascii="Times New Roman" w:hAnsi="Times New Roman"/>
          <w:sz w:val="22"/>
        </w:rPr>
        <w:t>V²</w:t>
      </w:r>
      <w:r>
        <w:rPr>
          <w:rFonts w:ascii="Times New Roman" w:hAnsi="Times New Roman"/>
          <w:sz w:val="22"/>
          <w:vertAlign w:val="subscript"/>
        </w:rPr>
        <w:t>oc</w:t>
      </w:r>
      <w:r>
        <w:rPr>
          <w:rFonts w:ascii="Times New Roman" w:hAnsi="Times New Roman"/>
          <w:sz w:val="22"/>
        </w:rPr>
        <w:t>/(4·R</w:t>
      </w:r>
      <w:r>
        <w:rPr>
          <w:rFonts w:ascii="Times New Roman" w:hAnsi="Times New Roman"/>
          <w:sz w:val="22"/>
          <w:vertAlign w:val="subscript"/>
        </w:rPr>
        <w:t>opt</w:t>
      </w:r>
      <w:r>
        <w:rPr>
          <w:rFonts w:ascii="Times New Roman" w:hAnsi="Times New Roman"/>
          <w:sz w:val="22"/>
        </w:rPr>
        <w:t xml:space="preserve">) = 14.5²/(4×366.000) ≈ 0.143 W per element Pentru dală 20×20cm cu 16 elemente 5×5cm: </w:t>
      </w:r>
      <w:r>
        <w:rPr>
          <w:rFonts w:ascii="Times New Roman" w:hAnsi="Times New Roman"/>
          <w:sz w:val="22"/>
        </w:rPr>
        <w:t>P</w:t>
      </w:r>
      <w:r>
        <w:rPr>
          <w:rFonts w:ascii="Times New Roman" w:hAnsi="Times New Roman"/>
          <w:sz w:val="22"/>
          <w:vertAlign w:val="subscript"/>
        </w:rPr>
        <w:t>max_total</w:t>
      </w:r>
      <w:r>
        <w:rPr>
          <w:rFonts w:ascii="Times New Roman" w:hAnsi="Times New Roman"/>
          <w:sz w:val="22"/>
        </w:rPr>
        <w:t xml:space="preserve"> ≈ 2.3 W per pas (puls) — confirmat de literatura de specialitate (2–5 W/m² la trafic normal).</w:t>
      </w:r>
      <w:r>
        <w:rPr>
          <w:rFonts w:ascii="Times New Roman" w:hAnsi="Times New Roman"/>
          <w:sz w:val="22"/>
        </w:rPr>
        <w:tab/>
        <w:t>(7)</w:t>
      </w:r>
    </w:p>
    <w:p>
      <w:pPr>
        <w:ind w:firstLine="0"/>
      </w:pPr>
    </w:p>
    <w:p>
      <w:pPr>
        <w:pStyle w:val="ChapterHeading"/>
        <w:keepNext/>
      </w:pPr>
      <w:r>
        <w:t>3. Arhitectura Tehnică a Sistemului Eb-s2e Open-air</w:t>
      </w:r>
    </w:p>
    <w:p>
      <w:pPr>
        <w:ind w:firstLine="0"/>
      </w:pPr>
    </w:p>
    <w:p>
      <w:pPr>
        <w:pStyle w:val="SubHeading"/>
        <w:keepNext/>
      </w:pPr>
      <w:r>
        <w:t>3.1 Filosofia arhitecturală — open-air ca paradigmă</w:t>
      </w:r>
    </w:p>
    <w:p>
      <w:pPr>
        <w:ind w:firstLine="0"/>
      </w:pPr>
    </w:p>
    <w:p>
      <w:pPr/>
      <w:r>
        <w:t>Unitatea Exergy Box Sport-to-Energy Open-Air (EB-S2E) reprezintă o inovație arhitecturală fundamentală față de concepțiile anterioare de fitness cu recuperare energetică: absența pereților exteriori nu este o limitare constructivă, ci o decizie de design deliberată, cu trei motivații convergente. Prima — transparența fizică: energia produsă de corpul cetățeanului este vizibilă, celebrată public, nu ascunsă într-un container tehnic; a doua — accesibilitatea psihologică: spațiul deschis elimină bariera de intrare față de clădirile închise; a treia — integrarea organică în spațiul public rural sau urban: pergola cu vegetație și PVT transformă EB-S2E dintr-o instalație tehnică într-un element de peisaj comunitar.</w:t>
      </w:r>
    </w:p>
    <w:p>
      <w:pPr>
        <w:ind w:firstLine="0"/>
      </w:pPr>
    </w:p>
    <w:p>
      <w:pPr>
        <w:pStyle w:val="SubHeading"/>
        <w:keepNext/>
      </w:pPr>
      <w:r>
        <w:t>3.2 Echipamentele s2e — specificații tehnice comparative</w:t>
      </w:r>
    </w:p>
    <w:p>
      <w:pPr>
        <w:ind w:firstLine="0"/>
      </w:pPr>
    </w:p>
    <w:p>
      <w:pPr/>
      <w:r>
        <w:t>Tabelul 3 prezintă specificațiile tehnice comparative ale celor șapte tipuri de echipamente S2E, clasificate după mecanismul de conversie dominant, puterea nominală și eficiența de conversie:</w:t>
      </w:r>
    </w:p>
    <w:p>
      <w:pPr>
        <w:ind w:firstLine="0"/>
      </w:pPr>
    </w:p>
    <w:p>
      <w:pPr>
        <w:pStyle w:val="TableCaption"/>
      </w:pPr>
      <w:r>
        <w:t>Tabel 3. Specificații tehnice echipamente S2E. P_nom = putere nominală (utilizator mediu activ); P_max = putere maximă (utilizator sportiv intens); η_conv = eficiența mecanică→electrică a lanțului de conversie, excluzând invertorul. Sursă: Model Spec Exergy S2E V2, EnEx Institute 2025; calcul propriu.</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Echipament S2E</w:t>
            </w:r>
          </w:p>
        </w:tc>
        <w:tc>
          <w:tcPr>
            <w:tcW w:type="dxa" w:w="1101"/>
          </w:tcPr>
          <w:p>
            <w:pPr>
              <w:spacing w:before="0" w:after="0"/>
              <w:ind w:firstLine="0"/>
              <w:jc w:val="left"/>
            </w:pPr>
            <w:r>
              <w:rPr>
                <w:rFonts w:ascii="Times New Roman" w:hAnsi="Times New Roman"/>
                <w:b/>
                <w:sz w:val="22"/>
              </w:rPr>
              <w:t>Tip conv.</w:t>
            </w:r>
          </w:p>
        </w:tc>
        <w:tc>
          <w:tcPr>
            <w:tcW w:type="dxa" w:w="1101"/>
          </w:tcPr>
          <w:p>
            <w:pPr>
              <w:spacing w:before="0" w:after="0"/>
              <w:ind w:firstLine="0"/>
              <w:jc w:val="left"/>
            </w:pPr>
            <w:r>
              <w:rPr>
                <w:rFonts w:ascii="Times New Roman" w:hAnsi="Times New Roman"/>
                <w:b/>
                <w:sz w:val="22"/>
              </w:rPr>
              <w:t>P_nom (W)</w:t>
            </w:r>
          </w:p>
        </w:tc>
        <w:tc>
          <w:tcPr>
            <w:tcW w:type="dxa" w:w="1101"/>
          </w:tcPr>
          <w:p>
            <w:pPr>
              <w:spacing w:before="0" w:after="0"/>
              <w:ind w:firstLine="0"/>
              <w:jc w:val="left"/>
            </w:pPr>
            <w:r>
              <w:rPr>
                <w:rFonts w:ascii="Times New Roman" w:hAnsi="Times New Roman"/>
                <w:b/>
                <w:sz w:val="22"/>
              </w:rPr>
              <w:t>P_max (W)</w:t>
            </w:r>
          </w:p>
        </w:tc>
        <w:tc>
          <w:tcPr>
            <w:tcW w:type="dxa" w:w="1101"/>
          </w:tcPr>
          <w:p>
            <w:pPr>
              <w:spacing w:before="0" w:after="0"/>
              <w:ind w:firstLine="0"/>
              <w:jc w:val="left"/>
            </w:pPr>
            <w:r>
              <w:rPr>
                <w:rFonts w:ascii="Times New Roman" w:hAnsi="Times New Roman"/>
                <w:b/>
                <w:sz w:val="22"/>
              </w:rPr>
              <w:t>η_conv (%)</w:t>
            </w:r>
          </w:p>
        </w:tc>
        <w:tc>
          <w:tcPr>
            <w:tcW w:type="dxa" w:w="1101"/>
          </w:tcPr>
          <w:p>
            <w:pPr>
              <w:spacing w:before="0" w:after="0"/>
              <w:ind w:firstLine="0"/>
              <w:jc w:val="left"/>
            </w:pPr>
            <w:r>
              <w:rPr>
                <w:rFonts w:ascii="Times New Roman" w:hAnsi="Times New Roman"/>
                <w:b/>
                <w:sz w:val="22"/>
              </w:rPr>
              <w:t>Material struct.</w:t>
            </w:r>
          </w:p>
        </w:tc>
        <w:tc>
          <w:tcPr>
            <w:tcW w:type="dxa" w:w="1101"/>
          </w:tcPr>
          <w:p>
            <w:pPr>
              <w:spacing w:before="0" w:after="0"/>
              <w:ind w:firstLine="0"/>
              <w:jc w:val="left"/>
            </w:pPr>
            <w:r>
              <w:rPr>
                <w:rFonts w:ascii="Times New Roman" w:hAnsi="Times New Roman"/>
                <w:b/>
                <w:sz w:val="22"/>
              </w:rPr>
              <w:t>Protecție IP</w:t>
            </w:r>
          </w:p>
        </w:tc>
      </w:tr>
      <w:tr>
        <w:tc>
          <w:tcPr>
            <w:tcW w:type="dxa" w:w="1101"/>
          </w:tcPr>
          <w:p>
            <w:pPr>
              <w:spacing w:before="0" w:after="0"/>
              <w:ind w:firstLine="0"/>
              <w:jc w:val="left"/>
            </w:pPr>
            <w:r>
              <w:rPr>
                <w:rFonts w:ascii="Times New Roman" w:hAnsi="Times New Roman"/>
                <w:sz w:val="22"/>
              </w:rPr>
              <w:t>Bicicletă S2E (B-S2E)</w:t>
            </w:r>
          </w:p>
        </w:tc>
        <w:tc>
          <w:tcPr>
            <w:tcW w:type="dxa" w:w="1101"/>
          </w:tcPr>
          <w:p>
            <w:pPr>
              <w:spacing w:before="0" w:after="0"/>
              <w:ind w:firstLine="0"/>
              <w:jc w:val="left"/>
            </w:pPr>
            <w:r>
              <w:rPr>
                <w:rFonts w:ascii="Times New Roman" w:hAnsi="Times New Roman"/>
                <w:sz w:val="22"/>
              </w:rPr>
              <w:t>EM rotativ</w:t>
            </w:r>
          </w:p>
        </w:tc>
        <w:tc>
          <w:tcPr>
            <w:tcW w:type="dxa" w:w="1101"/>
          </w:tcPr>
          <w:p>
            <w:pPr>
              <w:spacing w:before="0" w:after="0"/>
              <w:ind w:firstLine="0"/>
              <w:jc w:val="left"/>
            </w:pPr>
            <w:r>
              <w:rPr>
                <w:rFonts w:ascii="Times New Roman" w:hAnsi="Times New Roman"/>
                <w:sz w:val="22"/>
              </w:rPr>
              <w:t>50–120</w:t>
            </w:r>
          </w:p>
        </w:tc>
        <w:tc>
          <w:tcPr>
            <w:tcW w:type="dxa" w:w="1101"/>
          </w:tcPr>
          <w:p>
            <w:pPr>
              <w:spacing w:before="0" w:after="0"/>
              <w:ind w:firstLine="0"/>
              <w:jc w:val="left"/>
            </w:pPr>
            <w:r>
              <w:rPr>
                <w:rFonts w:ascii="Times New Roman" w:hAnsi="Times New Roman"/>
                <w:sz w:val="22"/>
              </w:rPr>
              <w:t>200</w:t>
            </w:r>
          </w:p>
        </w:tc>
        <w:tc>
          <w:tcPr>
            <w:tcW w:type="dxa" w:w="1101"/>
          </w:tcPr>
          <w:p>
            <w:pPr>
              <w:spacing w:before="0" w:after="0"/>
              <w:ind w:firstLine="0"/>
              <w:jc w:val="left"/>
            </w:pPr>
            <w:r>
              <w:rPr>
                <w:rFonts w:ascii="Times New Roman" w:hAnsi="Times New Roman"/>
                <w:sz w:val="22"/>
              </w:rPr>
              <w:t>65–78%</w:t>
            </w:r>
          </w:p>
        </w:tc>
        <w:tc>
          <w:tcPr>
            <w:tcW w:type="dxa" w:w="1101"/>
          </w:tcPr>
          <w:p>
            <w:pPr>
              <w:spacing w:before="0" w:after="0"/>
              <w:ind w:firstLine="0"/>
              <w:jc w:val="left"/>
            </w:pPr>
            <w:r>
              <w:rPr>
                <w:rFonts w:ascii="Times New Roman" w:hAnsi="Times New Roman"/>
                <w:sz w:val="22"/>
              </w:rPr>
              <w:t>Lemn FSC + inox</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Eliptică S2E (E-S2E)</w:t>
            </w:r>
          </w:p>
        </w:tc>
        <w:tc>
          <w:tcPr>
            <w:tcW w:type="dxa" w:w="1101"/>
          </w:tcPr>
          <w:p>
            <w:pPr>
              <w:spacing w:before="0" w:after="0"/>
              <w:ind w:firstLine="0"/>
              <w:jc w:val="left"/>
            </w:pPr>
            <w:r>
              <w:rPr>
                <w:rFonts w:ascii="Times New Roman" w:hAnsi="Times New Roman"/>
                <w:sz w:val="22"/>
              </w:rPr>
              <w:t>EM liniar</w:t>
            </w:r>
          </w:p>
        </w:tc>
        <w:tc>
          <w:tcPr>
            <w:tcW w:type="dxa" w:w="1101"/>
          </w:tcPr>
          <w:p>
            <w:pPr>
              <w:spacing w:before="0" w:after="0"/>
              <w:ind w:firstLine="0"/>
              <w:jc w:val="left"/>
            </w:pPr>
            <w:r>
              <w:rPr>
                <w:rFonts w:ascii="Times New Roman" w:hAnsi="Times New Roman"/>
                <w:sz w:val="22"/>
              </w:rPr>
              <w:t>40–100</w:t>
            </w:r>
          </w:p>
        </w:tc>
        <w:tc>
          <w:tcPr>
            <w:tcW w:type="dxa" w:w="1101"/>
          </w:tcPr>
          <w:p>
            <w:pPr>
              <w:spacing w:before="0" w:after="0"/>
              <w:ind w:firstLine="0"/>
              <w:jc w:val="left"/>
            </w:pPr>
            <w:r>
              <w:rPr>
                <w:rFonts w:ascii="Times New Roman" w:hAnsi="Times New Roman"/>
                <w:sz w:val="22"/>
              </w:rPr>
              <w:t>150</w:t>
            </w:r>
          </w:p>
        </w:tc>
        <w:tc>
          <w:tcPr>
            <w:tcW w:type="dxa" w:w="1101"/>
          </w:tcPr>
          <w:p>
            <w:pPr>
              <w:spacing w:before="0" w:after="0"/>
              <w:ind w:firstLine="0"/>
              <w:jc w:val="left"/>
            </w:pPr>
            <w:r>
              <w:rPr>
                <w:rFonts w:ascii="Times New Roman" w:hAnsi="Times New Roman"/>
                <w:sz w:val="22"/>
              </w:rPr>
              <w:t>62–75%</w:t>
            </w:r>
          </w:p>
        </w:tc>
        <w:tc>
          <w:tcPr>
            <w:tcW w:type="dxa" w:w="1101"/>
          </w:tcPr>
          <w:p>
            <w:pPr>
              <w:spacing w:before="0" w:after="0"/>
              <w:ind w:firstLine="0"/>
              <w:jc w:val="left"/>
            </w:pPr>
            <w:r>
              <w:rPr>
                <w:rFonts w:ascii="Times New Roman" w:hAnsi="Times New Roman"/>
                <w:sz w:val="22"/>
              </w:rPr>
              <w:t>Bambus + inox</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Stepper/Scări S2E (SC-S2E)</w:t>
            </w:r>
          </w:p>
        </w:tc>
        <w:tc>
          <w:tcPr>
            <w:tcW w:type="dxa" w:w="1101"/>
          </w:tcPr>
          <w:p>
            <w:pPr>
              <w:spacing w:before="0" w:after="0"/>
              <w:ind w:firstLine="0"/>
              <w:jc w:val="left"/>
            </w:pPr>
            <w:r>
              <w:rPr>
                <w:rFonts w:ascii="Times New Roman" w:hAnsi="Times New Roman"/>
                <w:sz w:val="22"/>
              </w:rPr>
              <w:t>Piezo + EM</w:t>
            </w:r>
          </w:p>
        </w:tc>
        <w:tc>
          <w:tcPr>
            <w:tcW w:type="dxa" w:w="1101"/>
          </w:tcPr>
          <w:p>
            <w:pPr>
              <w:spacing w:before="0" w:after="0"/>
              <w:ind w:firstLine="0"/>
              <w:jc w:val="left"/>
            </w:pPr>
            <w:r>
              <w:rPr>
                <w:rFonts w:ascii="Times New Roman" w:hAnsi="Times New Roman"/>
                <w:sz w:val="22"/>
              </w:rPr>
              <w:t>30–80</w:t>
            </w:r>
          </w:p>
        </w:tc>
        <w:tc>
          <w:tcPr>
            <w:tcW w:type="dxa" w:w="1101"/>
          </w:tcPr>
          <w:p>
            <w:pPr>
              <w:spacing w:before="0" w:after="0"/>
              <w:ind w:firstLine="0"/>
              <w:jc w:val="left"/>
            </w:pPr>
            <w:r>
              <w:rPr>
                <w:rFonts w:ascii="Times New Roman" w:hAnsi="Times New Roman"/>
                <w:sz w:val="22"/>
              </w:rPr>
              <w:t>100</w:t>
            </w:r>
          </w:p>
        </w:tc>
        <w:tc>
          <w:tcPr>
            <w:tcW w:type="dxa" w:w="1101"/>
          </w:tcPr>
          <w:p>
            <w:pPr>
              <w:spacing w:before="0" w:after="0"/>
              <w:ind w:firstLine="0"/>
              <w:jc w:val="left"/>
            </w:pPr>
            <w:r>
              <w:rPr>
                <w:rFonts w:ascii="Times New Roman" w:hAnsi="Times New Roman"/>
                <w:sz w:val="22"/>
              </w:rPr>
              <w:t>55–68%</w:t>
            </w:r>
          </w:p>
        </w:tc>
        <w:tc>
          <w:tcPr>
            <w:tcW w:type="dxa" w:w="1101"/>
          </w:tcPr>
          <w:p>
            <w:pPr>
              <w:spacing w:before="0" w:after="0"/>
              <w:ind w:firstLine="0"/>
              <w:jc w:val="left"/>
            </w:pPr>
            <w:r>
              <w:rPr>
                <w:rFonts w:ascii="Times New Roman" w:hAnsi="Times New Roman"/>
                <w:sz w:val="22"/>
              </w:rPr>
              <w:t>Piatră + lemn</w:t>
            </w:r>
          </w:p>
        </w:tc>
        <w:tc>
          <w:tcPr>
            <w:tcW w:type="dxa" w:w="1101"/>
          </w:tcPr>
          <w:p>
            <w:pPr>
              <w:spacing w:before="0" w:after="0"/>
              <w:ind w:firstLine="0"/>
              <w:jc w:val="left"/>
            </w:pPr>
            <w:r>
              <w:rPr>
                <w:rFonts w:ascii="Times New Roman" w:hAnsi="Times New Roman"/>
                <w:sz w:val="22"/>
              </w:rPr>
              <w:t>IP67</w:t>
            </w:r>
          </w:p>
        </w:tc>
      </w:tr>
      <w:tr>
        <w:tc>
          <w:tcPr>
            <w:tcW w:type="dxa" w:w="1101"/>
          </w:tcPr>
          <w:p>
            <w:pPr>
              <w:spacing w:before="0" w:after="0"/>
              <w:ind w:firstLine="0"/>
              <w:jc w:val="left"/>
            </w:pPr>
            <w:r>
              <w:rPr>
                <w:rFonts w:ascii="Times New Roman" w:hAnsi="Times New Roman"/>
                <w:sz w:val="22"/>
              </w:rPr>
              <w:t>Vâslit S2E (V-S2E)</w:t>
            </w:r>
          </w:p>
        </w:tc>
        <w:tc>
          <w:tcPr>
            <w:tcW w:type="dxa" w:w="1101"/>
          </w:tcPr>
          <w:p>
            <w:pPr>
              <w:spacing w:before="0" w:after="0"/>
              <w:ind w:firstLine="0"/>
              <w:jc w:val="left"/>
            </w:pPr>
            <w:r>
              <w:rPr>
                <w:rFonts w:ascii="Times New Roman" w:hAnsi="Times New Roman"/>
                <w:sz w:val="22"/>
              </w:rPr>
              <w:t>EM rotativ</w:t>
            </w:r>
          </w:p>
        </w:tc>
        <w:tc>
          <w:tcPr>
            <w:tcW w:type="dxa" w:w="1101"/>
          </w:tcPr>
          <w:p>
            <w:pPr>
              <w:spacing w:before="0" w:after="0"/>
              <w:ind w:firstLine="0"/>
              <w:jc w:val="left"/>
            </w:pPr>
            <w:r>
              <w:rPr>
                <w:rFonts w:ascii="Times New Roman" w:hAnsi="Times New Roman"/>
                <w:sz w:val="22"/>
              </w:rPr>
              <w:t>60–150</w:t>
            </w:r>
          </w:p>
        </w:tc>
        <w:tc>
          <w:tcPr>
            <w:tcW w:type="dxa" w:w="1101"/>
          </w:tcPr>
          <w:p>
            <w:pPr>
              <w:spacing w:before="0" w:after="0"/>
              <w:ind w:firstLine="0"/>
              <w:jc w:val="left"/>
            </w:pPr>
            <w:r>
              <w:rPr>
                <w:rFonts w:ascii="Times New Roman" w:hAnsi="Times New Roman"/>
                <w:sz w:val="22"/>
              </w:rPr>
              <w:t>180</w:t>
            </w:r>
          </w:p>
        </w:tc>
        <w:tc>
          <w:tcPr>
            <w:tcW w:type="dxa" w:w="1101"/>
          </w:tcPr>
          <w:p>
            <w:pPr>
              <w:spacing w:before="0" w:after="0"/>
              <w:ind w:firstLine="0"/>
              <w:jc w:val="left"/>
            </w:pPr>
            <w:r>
              <w:rPr>
                <w:rFonts w:ascii="Times New Roman" w:hAnsi="Times New Roman"/>
                <w:sz w:val="22"/>
              </w:rPr>
              <w:t>68–80%</w:t>
            </w:r>
          </w:p>
        </w:tc>
        <w:tc>
          <w:tcPr>
            <w:tcW w:type="dxa" w:w="1101"/>
          </w:tcPr>
          <w:p>
            <w:pPr>
              <w:spacing w:before="0" w:after="0"/>
              <w:ind w:firstLine="0"/>
              <w:jc w:val="left"/>
            </w:pPr>
            <w:r>
              <w:rPr>
                <w:rFonts w:ascii="Times New Roman" w:hAnsi="Times New Roman"/>
                <w:sz w:val="22"/>
              </w:rPr>
              <w:t>Lemn naval + cânepă</w:t>
            </w:r>
          </w:p>
        </w:tc>
        <w:tc>
          <w:tcPr>
            <w:tcW w:type="dxa" w:w="1101"/>
          </w:tcPr>
          <w:p>
            <w:pPr>
              <w:spacing w:before="0" w:after="0"/>
              <w:ind w:firstLine="0"/>
              <w:jc w:val="left"/>
            </w:pPr>
            <w:r>
              <w:rPr>
                <w:rFonts w:ascii="Times New Roman" w:hAnsi="Times New Roman"/>
                <w:sz w:val="22"/>
              </w:rPr>
              <w:t>IP65</w:t>
            </w:r>
          </w:p>
        </w:tc>
      </w:tr>
      <w:tr>
        <w:tc>
          <w:tcPr>
            <w:tcW w:type="dxa" w:w="1101"/>
          </w:tcPr>
          <w:p>
            <w:pPr>
              <w:spacing w:before="0" w:after="0"/>
              <w:ind w:firstLine="0"/>
              <w:jc w:val="left"/>
            </w:pPr>
            <w:r>
              <w:rPr>
                <w:rFonts w:ascii="Times New Roman" w:hAnsi="Times New Roman"/>
                <w:sz w:val="22"/>
              </w:rPr>
              <w:t>Dale Piezoelectrice (DP-S2E)</w:t>
            </w:r>
          </w:p>
        </w:tc>
        <w:tc>
          <w:tcPr>
            <w:tcW w:type="dxa" w:w="1101"/>
          </w:tcPr>
          <w:p>
            <w:pPr>
              <w:spacing w:before="0" w:after="0"/>
              <w:ind w:firstLine="0"/>
              <w:jc w:val="left"/>
            </w:pPr>
            <w:r>
              <w:rPr>
                <w:rFonts w:ascii="Times New Roman" w:hAnsi="Times New Roman"/>
                <w:sz w:val="22"/>
              </w:rPr>
              <w:t>Piezoelectric</w:t>
            </w:r>
          </w:p>
        </w:tc>
        <w:tc>
          <w:tcPr>
            <w:tcW w:type="dxa" w:w="1101"/>
          </w:tcPr>
          <w:p>
            <w:pPr>
              <w:spacing w:before="0" w:after="0"/>
              <w:ind w:firstLine="0"/>
              <w:jc w:val="left"/>
            </w:pPr>
            <w:r>
              <w:rPr>
                <w:rFonts w:ascii="Times New Roman" w:hAnsi="Times New Roman"/>
                <w:sz w:val="22"/>
              </w:rPr>
              <w:t>1–8/m²</w:t>
            </w:r>
          </w:p>
        </w:tc>
        <w:tc>
          <w:tcPr>
            <w:tcW w:type="dxa" w:w="1101"/>
          </w:tcPr>
          <w:p>
            <w:pPr>
              <w:spacing w:before="0" w:after="0"/>
              <w:ind w:firstLine="0"/>
              <w:jc w:val="left"/>
            </w:pPr>
            <w:r>
              <w:rPr>
                <w:rFonts w:ascii="Times New Roman" w:hAnsi="Times New Roman"/>
                <w:sz w:val="22"/>
              </w:rPr>
              <w:t>10/m²</w:t>
            </w:r>
          </w:p>
        </w:tc>
        <w:tc>
          <w:tcPr>
            <w:tcW w:type="dxa" w:w="1101"/>
          </w:tcPr>
          <w:p>
            <w:pPr>
              <w:spacing w:before="0" w:after="0"/>
              <w:ind w:firstLine="0"/>
              <w:jc w:val="left"/>
            </w:pPr>
            <w:r>
              <w:rPr>
                <w:rFonts w:ascii="Times New Roman" w:hAnsi="Times New Roman"/>
                <w:sz w:val="22"/>
              </w:rPr>
              <w:t>25–45%</w:t>
            </w:r>
          </w:p>
        </w:tc>
        <w:tc>
          <w:tcPr>
            <w:tcW w:type="dxa" w:w="1101"/>
          </w:tcPr>
          <w:p>
            <w:pPr>
              <w:spacing w:before="0" w:after="0"/>
              <w:ind w:firstLine="0"/>
              <w:jc w:val="left"/>
            </w:pPr>
            <w:r>
              <w:rPr>
                <w:rFonts w:ascii="Times New Roman" w:hAnsi="Times New Roman"/>
                <w:sz w:val="22"/>
              </w:rPr>
              <w:t>Piatră + PZT</w:t>
            </w:r>
          </w:p>
        </w:tc>
        <w:tc>
          <w:tcPr>
            <w:tcW w:type="dxa" w:w="1101"/>
          </w:tcPr>
          <w:p>
            <w:pPr>
              <w:spacing w:before="0" w:after="0"/>
              <w:ind w:firstLine="0"/>
              <w:jc w:val="left"/>
            </w:pPr>
            <w:r>
              <w:rPr>
                <w:rFonts w:ascii="Times New Roman" w:hAnsi="Times New Roman"/>
                <w:sz w:val="22"/>
              </w:rPr>
              <w:t>IP67</w:t>
            </w:r>
          </w:p>
        </w:tc>
      </w:tr>
      <w:tr>
        <w:tc>
          <w:tcPr>
            <w:tcW w:type="dxa" w:w="1101"/>
          </w:tcPr>
          <w:p>
            <w:pPr>
              <w:spacing w:before="0" w:after="0"/>
              <w:ind w:firstLine="0"/>
              <w:jc w:val="left"/>
            </w:pPr>
            <w:r>
              <w:rPr>
                <w:rFonts w:ascii="Times New Roman" w:hAnsi="Times New Roman"/>
                <w:sz w:val="22"/>
              </w:rPr>
              <w:t>Bănci Active S2E (BA-S2E)</w:t>
            </w:r>
          </w:p>
        </w:tc>
        <w:tc>
          <w:tcPr>
            <w:tcW w:type="dxa" w:w="1101"/>
          </w:tcPr>
          <w:p>
            <w:pPr>
              <w:spacing w:before="0" w:after="0"/>
              <w:ind w:firstLine="0"/>
              <w:jc w:val="left"/>
            </w:pPr>
            <w:r>
              <w:rPr>
                <w:rFonts w:ascii="Times New Roman" w:hAnsi="Times New Roman"/>
                <w:sz w:val="22"/>
              </w:rPr>
              <w:t>Piezo + EM</w:t>
            </w:r>
          </w:p>
        </w:tc>
        <w:tc>
          <w:tcPr>
            <w:tcW w:type="dxa" w:w="1101"/>
          </w:tcPr>
          <w:p>
            <w:pPr>
              <w:spacing w:before="0" w:after="0"/>
              <w:ind w:firstLine="0"/>
              <w:jc w:val="left"/>
            </w:pPr>
            <w:r>
              <w:rPr>
                <w:rFonts w:ascii="Times New Roman" w:hAnsi="Times New Roman"/>
                <w:sz w:val="22"/>
              </w:rPr>
              <w:t>20–50</w:t>
            </w:r>
          </w:p>
        </w:tc>
        <w:tc>
          <w:tcPr>
            <w:tcW w:type="dxa" w:w="1101"/>
          </w:tcPr>
          <w:p>
            <w:pPr>
              <w:spacing w:before="0" w:after="0"/>
              <w:ind w:firstLine="0"/>
              <w:jc w:val="left"/>
            </w:pPr>
            <w:r>
              <w:rPr>
                <w:rFonts w:ascii="Times New Roman" w:hAnsi="Times New Roman"/>
                <w:sz w:val="22"/>
              </w:rPr>
              <w:t>60</w:t>
            </w:r>
          </w:p>
        </w:tc>
        <w:tc>
          <w:tcPr>
            <w:tcW w:type="dxa" w:w="1101"/>
          </w:tcPr>
          <w:p>
            <w:pPr>
              <w:spacing w:before="0" w:after="0"/>
              <w:ind w:firstLine="0"/>
              <w:jc w:val="left"/>
            </w:pPr>
            <w:r>
              <w:rPr>
                <w:rFonts w:ascii="Times New Roman" w:hAnsi="Times New Roman"/>
                <w:sz w:val="22"/>
              </w:rPr>
              <w:t>50–65%</w:t>
            </w:r>
          </w:p>
        </w:tc>
        <w:tc>
          <w:tcPr>
            <w:tcW w:type="dxa" w:w="1101"/>
          </w:tcPr>
          <w:p>
            <w:pPr>
              <w:spacing w:before="0" w:after="0"/>
              <w:ind w:firstLine="0"/>
              <w:jc w:val="left"/>
            </w:pPr>
            <w:r>
              <w:rPr>
                <w:rFonts w:ascii="Times New Roman" w:hAnsi="Times New Roman"/>
                <w:sz w:val="22"/>
              </w:rPr>
              <w:t>Lemn masiv FSC</w:t>
            </w:r>
          </w:p>
        </w:tc>
        <w:tc>
          <w:tcPr>
            <w:tcW w:type="dxa" w:w="1101"/>
          </w:tcPr>
          <w:p>
            <w:pPr>
              <w:spacing w:before="0" w:after="0"/>
              <w:ind w:firstLine="0"/>
              <w:jc w:val="left"/>
            </w:pPr>
            <w:r>
              <w:rPr>
                <w:rFonts w:ascii="Times New Roman" w:hAnsi="Times New Roman"/>
                <w:sz w:val="22"/>
              </w:rPr>
              <w:t>IP54</w:t>
            </w:r>
          </w:p>
        </w:tc>
      </w:tr>
      <w:tr>
        <w:tc>
          <w:tcPr>
            <w:tcW w:type="dxa" w:w="1101"/>
          </w:tcPr>
          <w:p>
            <w:pPr>
              <w:spacing w:before="0" w:after="0"/>
              <w:ind w:firstLine="0"/>
              <w:jc w:val="left"/>
            </w:pPr>
            <w:r>
              <w:rPr>
                <w:rFonts w:ascii="Times New Roman" w:hAnsi="Times New Roman"/>
                <w:sz w:val="22"/>
              </w:rPr>
              <w:t>Pergolă PVT SymbiotyX (PVT-P)</w:t>
            </w:r>
          </w:p>
        </w:tc>
        <w:tc>
          <w:tcPr>
            <w:tcW w:type="dxa" w:w="1101"/>
          </w:tcPr>
          <w:p>
            <w:pPr>
              <w:spacing w:before="0" w:after="0"/>
              <w:ind w:firstLine="0"/>
              <w:jc w:val="left"/>
            </w:pPr>
            <w:r>
              <w:rPr>
                <w:rFonts w:ascii="Times New Roman" w:hAnsi="Times New Roman"/>
                <w:sz w:val="22"/>
              </w:rPr>
              <w:t>Fotovoltaic</w:t>
            </w:r>
          </w:p>
        </w:tc>
        <w:tc>
          <w:tcPr>
            <w:tcW w:type="dxa" w:w="1101"/>
          </w:tcPr>
          <w:p>
            <w:pPr>
              <w:spacing w:before="0" w:after="0"/>
              <w:ind w:firstLine="0"/>
              <w:jc w:val="left"/>
            </w:pPr>
            <w:r>
              <w:rPr>
                <w:rFonts w:ascii="Times New Roman" w:hAnsi="Times New Roman"/>
                <w:sz w:val="22"/>
              </w:rPr>
              <w:t>N/A</w:t>
            </w:r>
          </w:p>
        </w:tc>
        <w:tc>
          <w:tcPr>
            <w:tcW w:type="dxa" w:w="1101"/>
          </w:tcPr>
          <w:p>
            <w:pPr>
              <w:spacing w:before="0" w:after="0"/>
              <w:ind w:firstLine="0"/>
              <w:jc w:val="left"/>
            </w:pPr>
            <w:r>
              <w:rPr>
                <w:rFonts w:ascii="Times New Roman" w:hAnsi="Times New Roman"/>
                <w:sz w:val="22"/>
              </w:rPr>
              <w:t>400Wp/panou</w:t>
            </w:r>
          </w:p>
        </w:tc>
        <w:tc>
          <w:tcPr>
            <w:tcW w:type="dxa" w:w="1101"/>
          </w:tcPr>
          <w:p>
            <w:pPr>
              <w:spacing w:before="0" w:after="0"/>
              <w:ind w:firstLine="0"/>
              <w:jc w:val="left"/>
            </w:pPr>
            <w:r>
              <w:rPr>
                <w:rFonts w:ascii="Times New Roman" w:hAnsi="Times New Roman"/>
                <w:sz w:val="22"/>
              </w:rPr>
              <w:t>18–22%</w:t>
            </w:r>
          </w:p>
        </w:tc>
        <w:tc>
          <w:tcPr>
            <w:tcW w:type="dxa" w:w="1101"/>
          </w:tcPr>
          <w:p>
            <w:pPr>
              <w:spacing w:before="0" w:after="0"/>
              <w:ind w:firstLine="0"/>
              <w:jc w:val="left"/>
            </w:pPr>
            <w:r>
              <w:rPr>
                <w:rFonts w:ascii="Times New Roman" w:hAnsi="Times New Roman"/>
                <w:sz w:val="22"/>
              </w:rPr>
              <w:t>Aluminiu+sticlă</w:t>
            </w:r>
          </w:p>
        </w:tc>
        <w:tc>
          <w:tcPr>
            <w:tcW w:type="dxa" w:w="1101"/>
          </w:tcPr>
          <w:p>
            <w:pPr>
              <w:spacing w:before="0" w:after="0"/>
              <w:ind w:firstLine="0"/>
              <w:jc w:val="left"/>
            </w:pPr>
            <w:r>
              <w:rPr>
                <w:rFonts w:ascii="Times New Roman" w:hAnsi="Times New Roman"/>
                <w:sz w:val="22"/>
              </w:rPr>
              <w:t>IP65</w:t>
            </w:r>
          </w:p>
        </w:tc>
      </w:tr>
    </w:tbl>
    <w:p>
      <w:pPr>
        <w:ind w:firstLine="0"/>
      </w:pPr>
    </w:p>
    <w:p>
      <w:pPr>
        <w:ind w:firstLine="0"/>
      </w:pPr>
    </w:p>
    <w:p>
      <w:pPr>
        <w:pStyle w:val="SubHeading"/>
        <w:keepNext/>
      </w:pPr>
      <w:r>
        <w:t>3.3 Sistemul electric de colectare și conversie</w:t>
      </w:r>
    </w:p>
    <w:p>
      <w:pPr>
        <w:ind w:firstLine="0"/>
      </w:pPr>
    </w:p>
    <w:p>
      <w:pPr>
        <w:ind w:firstLine="0"/>
      </w:pPr>
    </w:p>
    <w:p>
      <w:pPr>
        <w:pStyle w:val="SubHeading"/>
        <w:keepNext/>
      </w:pPr>
      <w:r>
        <w:t>3.3.1 Arhitectura electrică dc</w:t>
      </w:r>
    </w:p>
    <w:p>
      <w:pPr>
        <w:ind w:firstLine="0"/>
      </w:pPr>
    </w:p>
    <w:p>
      <w:pPr/>
      <w:r>
        <w:t>Ieșirile individuale ale tuturor generatoarelor (DC 12–48V, tensiune variabilă) sunt colectate pe un busbar DC comun la 48V nominal, prin convertoare DC/DC individuale de tip buck-boost cu MPPT (Maximum Power Point Tracking). MPPT este esențial pentru maximizarea puterii extrase atât de la generatoarele EM (R_opt variabilă cu viteza de rotație) cât și de la convertoarele piezoelectrice (R_opt dependentă de frecvența excitației și temperatură).</w:t>
      </w:r>
    </w:p>
    <w:p>
      <w:pPr/>
      <w:r>
        <w:t>Busbar-ul DC 48V alimentează: (1) bateria tampon Li-ion 5–10 kWh (montată în Box-ul adiacent), cu rol de buffer pentru fluctuațiile de generare; (2) invertorul AC (230V/50Hz) partajat cu Box-ul adiacent, pentru injecția în grid-ul HUB; (3) consumatorii proprii S2E: display LED pergolă, iluminat nocturn LED, micro-controllere IoT, senzori AssetHealth.</w:t>
      </w:r>
    </w:p>
    <w:p>
      <w:pPr>
        <w:ind w:firstLine="0"/>
      </w:pPr>
    </w:p>
    <w:p>
      <w:pPr>
        <w:pStyle w:val="SubHeading"/>
        <w:keepNext/>
      </w:pPr>
      <w:r>
        <w:t>3.3.2 Electronica de colectare piezoelectrică</w:t>
      </w:r>
    </w:p>
    <w:p>
      <w:pPr>
        <w:ind w:firstLine="0"/>
      </w:pPr>
    </w:p>
    <w:p>
      <w:pPr/>
      <w:r>
        <w:t>Circuitele de colectare a energiei piezoelectrice necesită o abordare specială datorită impedanței capacitive ridicate a elementelor PZT (C_p ~ 100–500 nF, R_opt ~ 10 kΩ–10 MΩ). Tehnicile standard (Full Bridge Rectifier — FBR) au eficiență redusă la sarcini capacitive; tehnicile avansate utilizate în S2E includ: SECE (Synchronized Electric Charge Extraction) — eficiență 200–400% față de FBR pentru sarcini capacitive; SSHI (Synchronized Switch Harvesting on Inductor) — crește V_oc efectivă prin inversare sincronizată a polarizării, multiplicând puterea extrasă.</w:t>
      </w:r>
    </w:p>
    <w:p>
      <w:pPr>
        <w:ind w:firstLine="0"/>
      </w:pPr>
    </w:p>
    <w:p>
      <w:pPr>
        <w:pStyle w:val="SubHeading"/>
        <w:keepNext/>
      </w:pPr>
      <w:r>
        <w:t>3.4 Pergola symbiotyx pod — component integrat</w:t>
      </w:r>
    </w:p>
    <w:p>
      <w:pPr>
        <w:ind w:firstLine="0"/>
      </w:pPr>
    </w:p>
    <w:p>
      <w:pPr/>
      <w:r>
        <w:t>Pergola SymbiotyX Pod nu este un simplu acoperiș: este o componentă funcțională multidimensională care îndeplinește simultan șase funcții: (1) structurală — cadru din lemn FSC/bambus certificat, adăpost parțial împotriva ploii și soarelui direct; (2) energetică — 4–8 panouri PVT semi-transparente integrate pe lamele superioare, producând 1–3 kWp electric + căldură reziduală; (3) ecologică — plante cățărătoare perene pe stâlpi și traverse, captând ~2 kgCO₂/m²/an; (4) informațională — display LED frontal vizibil &gt;10m cu energie produsă live, clasament și tokeni; (5) de iluminat — LED solare integrate, autonomie 100% din PV pergolă; (6) identitară — design recognoscibil, branding subtil Exergy, QR code acces App.</w:t>
      </w:r>
    </w:p>
    <w:p>
      <w:pPr>
        <w:ind w:firstLine="0"/>
      </w:pPr>
    </w:p>
    <w:p>
      <w:pPr>
        <w:pStyle w:val="ChapterHeading"/>
        <w:keepNext/>
      </w:pPr>
      <w:r>
        <w:t>4. Modelul de Putere și Profilul Energetic al Comunității</w:t>
      </w:r>
    </w:p>
    <w:p>
      <w:pPr>
        <w:ind w:firstLine="0"/>
      </w:pPr>
    </w:p>
    <w:p>
      <w:pPr>
        <w:pStyle w:val="SubHeading"/>
        <w:keepNext/>
      </w:pPr>
      <w:r>
        <w:t>4.1 Modelul matematic al producției s2e</w:t>
      </w:r>
    </w:p>
    <w:p>
      <w:pPr>
        <w:ind w:firstLine="0"/>
      </w:pPr>
    </w:p>
    <w:p>
      <w:pPr/>
      <w:r>
        <w:t>Energia electrică anuală produsă de sistemul S2E al unei comunități de N_total membri se calculează ca:</w:t>
      </w:r>
    </w:p>
    <w:p>
      <w:pPr>
        <w:ind w:firstLine="0"/>
        <w:tabs>
          <w:tab w:val="center" w:pos="3855"/>
          <w:tab w:val="right" w:pos="7710"/>
        </w:tabs>
        <w:jc w:val="left"/>
      </w:pPr>
      <w:r>
        <w:rPr>
          <w:rFonts w:ascii="Times New Roman" w:hAnsi="Times New Roman"/>
          <w:sz w:val="22"/>
        </w:rPr>
        <w:tab/>
      </w:r>
      <w:r>
        <w:rPr>
          <w:rFonts w:ascii="Times New Roman" w:hAnsi="Times New Roman"/>
          <w:sz w:val="22"/>
        </w:rPr>
        <w:t>E</w:t>
      </w:r>
      <w:r>
        <w:rPr>
          <w:rFonts w:ascii="Times New Roman" w:hAnsi="Times New Roman"/>
          <w:sz w:val="22"/>
          <w:vertAlign w:val="subscript"/>
        </w:rPr>
        <w:t>S2E_an</w:t>
      </w:r>
      <w:r>
        <w:rPr>
          <w:rFonts w:ascii="Times New Roman" w:hAnsi="Times New Roman"/>
          <w:sz w:val="22"/>
        </w:rPr>
        <w:t xml:space="preserve"> = </w:t>
      </w:r>
      <w:r>
        <w:rPr>
          <w:rFonts w:ascii="Times New Roman" w:hAnsi="Times New Roman"/>
          <w:sz w:val="22"/>
        </w:rPr>
        <w:t>N</w:t>
      </w:r>
      <w:r>
        <w:rPr>
          <w:rFonts w:ascii="Times New Roman" w:hAnsi="Times New Roman"/>
          <w:sz w:val="22"/>
          <w:vertAlign w:val="subscript"/>
        </w:rPr>
        <w:t>total</w:t>
      </w:r>
      <w:r>
        <w:rPr>
          <w:rFonts w:ascii="Times New Roman" w:hAnsi="Times New Roman"/>
          <w:sz w:val="22"/>
        </w:rPr>
        <w:t xml:space="preserve"> × </w:t>
      </w:r>
      <w:r>
        <w:rPr>
          <w:rFonts w:ascii="Times New Roman" w:hAnsi="Times New Roman"/>
          <w:sz w:val="22"/>
        </w:rPr>
        <w:t>r</w:t>
      </w:r>
      <w:r>
        <w:rPr>
          <w:rFonts w:ascii="Times New Roman" w:hAnsi="Times New Roman"/>
          <w:sz w:val="22"/>
          <w:vertAlign w:val="subscript"/>
        </w:rPr>
        <w:t>part</w:t>
      </w:r>
      <w:r>
        <w:rPr>
          <w:rFonts w:ascii="Times New Roman" w:hAnsi="Times New Roman"/>
          <w:sz w:val="22"/>
        </w:rPr>
        <w:t xml:space="preserve"> × [Σᵢ </w:t>
      </w:r>
      <w:r>
        <w:rPr>
          <w:rFonts w:ascii="Times New Roman" w:hAnsi="Times New Roman"/>
          <w:sz w:val="22"/>
        </w:rPr>
        <w:t>(f</w:t>
      </w:r>
      <w:r>
        <w:rPr>
          <w:rFonts w:ascii="Times New Roman" w:hAnsi="Times New Roman"/>
          <w:sz w:val="22"/>
          <w:vertAlign w:val="subscript"/>
        </w:rPr>
        <w:t>echip</w:t>
      </w:r>
      <w:r>
        <w:rPr>
          <w:rFonts w:ascii="Times New Roman" w:hAnsi="Times New Roman"/>
          <w:sz w:val="22"/>
        </w:rPr>
        <w:t xml:space="preserve">,i × </w:t>
      </w:r>
      <w:r>
        <w:rPr>
          <w:rFonts w:ascii="Times New Roman" w:hAnsi="Times New Roman"/>
          <w:sz w:val="22"/>
        </w:rPr>
        <w:t>P</w:t>
      </w:r>
      <w:r>
        <w:rPr>
          <w:rFonts w:ascii="Times New Roman" w:hAnsi="Times New Roman"/>
          <w:sz w:val="22"/>
          <w:vertAlign w:val="subscript"/>
        </w:rPr>
        <w:t>med</w:t>
      </w:r>
      <w:r>
        <w:rPr>
          <w:rFonts w:ascii="Times New Roman" w:hAnsi="Times New Roman"/>
          <w:sz w:val="22"/>
        </w:rPr>
        <w:t xml:space="preserve">,i × </w:t>
      </w:r>
      <w:r>
        <w:rPr>
          <w:rFonts w:ascii="Times New Roman" w:hAnsi="Times New Roman"/>
          <w:sz w:val="22"/>
        </w:rPr>
        <w:t>t</w:t>
      </w:r>
      <w:r>
        <w:rPr>
          <w:rFonts w:ascii="Times New Roman" w:hAnsi="Times New Roman"/>
          <w:sz w:val="22"/>
          <w:vertAlign w:val="subscript"/>
        </w:rPr>
        <w:t>sesiune</w:t>
      </w:r>
      <w:r>
        <w:rPr>
          <w:rFonts w:ascii="Times New Roman" w:hAnsi="Times New Roman"/>
          <w:sz w:val="22"/>
        </w:rPr>
        <w:t xml:space="preserve">,i × </w:t>
      </w:r>
      <w:r>
        <w:rPr>
          <w:rFonts w:ascii="Times New Roman" w:hAnsi="Times New Roman"/>
          <w:sz w:val="22"/>
        </w:rPr>
        <w:t>n</w:t>
      </w:r>
      <w:r>
        <w:rPr>
          <w:rFonts w:ascii="Times New Roman" w:hAnsi="Times New Roman"/>
          <w:sz w:val="22"/>
          <w:vertAlign w:val="subscript"/>
        </w:rPr>
        <w:t>sesiuni</w:t>
      </w:r>
      <w:r>
        <w:rPr>
          <w:rFonts w:ascii="Times New Roman" w:hAnsi="Times New Roman"/>
          <w:sz w:val="22"/>
        </w:rPr>
        <w:t xml:space="preserve">,i × 52)] × </w:t>
      </w:r>
      <w:r>
        <w:rPr>
          <w:rFonts w:ascii="Times New Roman" w:hAnsi="Times New Roman"/>
          <w:sz w:val="22"/>
        </w:rPr>
        <w:t>η</w:t>
      </w:r>
      <w:r>
        <w:rPr>
          <w:rFonts w:ascii="Times New Roman" w:hAnsi="Times New Roman"/>
          <w:sz w:val="22"/>
          <w:vertAlign w:val="subscript"/>
        </w:rPr>
        <w:t>sistem</w:t>
      </w:r>
      <w:r>
        <w:rPr>
          <w:rFonts w:ascii="Times New Roman" w:hAnsi="Times New Roman"/>
          <w:sz w:val="22"/>
        </w:rPr>
        <w:tab/>
        <w:t>(8)</w:t>
      </w:r>
    </w:p>
    <w:p>
      <w:pPr>
        <w:ind w:firstLine="0"/>
      </w:pPr>
      <w:r>
        <w:rPr>
          <w:rFonts w:ascii="Times New Roman" w:hAnsi="Times New Roman"/>
          <w:sz w:val="22"/>
        </w:rPr>
        <w:t xml:space="preserve">unde: </w:t>
      </w:r>
      <w:r>
        <w:rPr>
          <w:rFonts w:ascii="Times New Roman" w:hAnsi="Times New Roman"/>
          <w:sz w:val="22"/>
        </w:rPr>
        <w:t>r</w:t>
      </w:r>
      <w:r>
        <w:rPr>
          <w:rFonts w:ascii="Times New Roman" w:hAnsi="Times New Roman"/>
          <w:sz w:val="22"/>
          <w:vertAlign w:val="subscript"/>
        </w:rPr>
        <w:t>part</w:t>
      </w:r>
      <w:r>
        <w:rPr>
          <w:rFonts w:ascii="Times New Roman" w:hAnsi="Times New Roman"/>
          <w:sz w:val="22"/>
        </w:rPr>
        <w:t xml:space="preserve"> = rata de participare (fracție din membri activi); </w:t>
      </w:r>
      <w:r>
        <w:rPr>
          <w:rFonts w:ascii="Times New Roman" w:hAnsi="Times New Roman"/>
          <w:sz w:val="22"/>
        </w:rPr>
        <w:t>f</w:t>
      </w:r>
      <w:r>
        <w:rPr>
          <w:rFonts w:ascii="Times New Roman" w:hAnsi="Times New Roman"/>
          <w:sz w:val="22"/>
          <w:vertAlign w:val="subscript"/>
        </w:rPr>
        <w:t>echip</w:t>
      </w:r>
      <w:r>
        <w:rPr>
          <w:rFonts w:ascii="Times New Roman" w:hAnsi="Times New Roman"/>
          <w:sz w:val="22"/>
        </w:rPr>
        <w:t xml:space="preserve">,i = fracție utilizatori care folosesc echipamentul i; </w:t>
      </w:r>
      <w:r>
        <w:rPr>
          <w:rFonts w:ascii="Times New Roman" w:hAnsi="Times New Roman"/>
          <w:sz w:val="22"/>
        </w:rPr>
        <w:t>P</w:t>
      </w:r>
      <w:r>
        <w:rPr>
          <w:rFonts w:ascii="Times New Roman" w:hAnsi="Times New Roman"/>
          <w:sz w:val="22"/>
          <w:vertAlign w:val="subscript"/>
        </w:rPr>
        <w:t>med</w:t>
      </w:r>
      <w:r>
        <w:rPr>
          <w:rFonts w:ascii="Times New Roman" w:hAnsi="Times New Roman"/>
          <w:sz w:val="22"/>
        </w:rPr>
        <w:t xml:space="preserve">,i = puterea medie produsă pe echipament i [W]; </w:t>
      </w:r>
      <w:r>
        <w:rPr>
          <w:rFonts w:ascii="Times New Roman" w:hAnsi="Times New Roman"/>
          <w:sz w:val="22"/>
        </w:rPr>
        <w:t>t</w:t>
      </w:r>
      <w:r>
        <w:rPr>
          <w:rFonts w:ascii="Times New Roman" w:hAnsi="Times New Roman"/>
          <w:sz w:val="22"/>
          <w:vertAlign w:val="subscript"/>
        </w:rPr>
        <w:t>sesiune</w:t>
      </w:r>
      <w:r>
        <w:rPr>
          <w:rFonts w:ascii="Times New Roman" w:hAnsi="Times New Roman"/>
          <w:sz w:val="22"/>
        </w:rPr>
        <w:t xml:space="preserve">,i = durata medie sesiune [h]; </w:t>
      </w:r>
      <w:r>
        <w:rPr>
          <w:rFonts w:ascii="Times New Roman" w:hAnsi="Times New Roman"/>
          <w:sz w:val="22"/>
        </w:rPr>
        <w:t>n</w:t>
      </w:r>
      <w:r>
        <w:rPr>
          <w:rFonts w:ascii="Times New Roman" w:hAnsi="Times New Roman"/>
          <w:sz w:val="22"/>
          <w:vertAlign w:val="subscript"/>
        </w:rPr>
        <w:t>sesiuni</w:t>
      </w:r>
      <w:r>
        <w:rPr>
          <w:rFonts w:ascii="Times New Roman" w:hAnsi="Times New Roman"/>
          <w:sz w:val="22"/>
        </w:rPr>
        <w:t xml:space="preserve">,i = număr sesiuni per săptămână; </w:t>
      </w:r>
      <w:r>
        <w:rPr>
          <w:rFonts w:ascii="Times New Roman" w:hAnsi="Times New Roman"/>
          <w:sz w:val="22"/>
        </w:rPr>
        <w:t>η</w:t>
      </w:r>
      <w:r>
        <w:rPr>
          <w:rFonts w:ascii="Times New Roman" w:hAnsi="Times New Roman"/>
          <w:sz w:val="22"/>
          <w:vertAlign w:val="subscript"/>
        </w:rPr>
        <w:t>sistem</w:t>
      </w:r>
      <w:r>
        <w:rPr>
          <w:rFonts w:ascii="Times New Roman" w:hAnsi="Times New Roman"/>
          <w:sz w:val="22"/>
        </w:rPr>
        <w:t xml:space="preserve"> = eficiența electrică totală a sistemului (inclusiv invertor, busbar, MPPT); 52 = săptămâni/an</w:t>
      </w:r>
    </w:p>
    <w:p>
      <w:pPr>
        <w:ind w:firstLine="0"/>
      </w:pPr>
    </w:p>
    <w:p>
      <w:pPr>
        <w:pStyle w:val="SubHeading"/>
        <w:keepNext/>
      </w:pPr>
      <w:r>
        <w:t>4.2 Profilul de putere pe tipuri de utilizatori</w:t>
      </w:r>
    </w:p>
    <w:p>
      <w:pPr>
        <w:ind w:firstLine="0"/>
      </w:pPr>
    </w:p>
    <w:p>
      <w:pPr/>
      <w:r>
        <w:t>Tabelul 4 prezintă profilul de putere și producție energetică anuală estimată pentru diferite categorii de utilizatori, la T₀ = 10°C (climate temperată, utilizare sezonieră parțial redusă):</w:t>
      </w:r>
    </w:p>
    <w:p>
      <w:pPr>
        <w:ind w:firstLine="0"/>
      </w:pPr>
    </w:p>
    <w:p>
      <w:pPr>
        <w:pStyle w:val="TableCaption"/>
      </w:pPr>
      <w:r>
        <w:t>Tabel 4. Profil putere și producție energetică S2E per categorie de utilizator. Valorile E_sesiune includ η_sistem = 70% (EM), η_sistem = 35% (piezo dale). E_an calculat la 50 săptămâni de utilizare activă (2 săptămâni reducere sezonieră pentru climate temperat). Sursă: calcul propriu pe baza ACSM 2021, Model Spec S2E V2, EnEx Institute 2025.</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Utilizator / Activitate</w:t>
            </w:r>
          </w:p>
        </w:tc>
        <w:tc>
          <w:tcPr>
            <w:tcW w:type="dxa" w:w="964"/>
          </w:tcPr>
          <w:p>
            <w:pPr>
              <w:spacing w:before="0" w:after="0"/>
              <w:ind w:firstLine="0"/>
              <w:jc w:val="left"/>
            </w:pPr>
            <w:r>
              <w:rPr>
                <w:rFonts w:ascii="Times New Roman" w:hAnsi="Times New Roman"/>
                <w:b/>
                <w:sz w:val="22"/>
              </w:rPr>
              <w:t>P_min (W)</w:t>
            </w:r>
          </w:p>
        </w:tc>
        <w:tc>
          <w:tcPr>
            <w:tcW w:type="dxa" w:w="964"/>
          </w:tcPr>
          <w:p>
            <w:pPr>
              <w:spacing w:before="0" w:after="0"/>
              <w:ind w:firstLine="0"/>
              <w:jc w:val="left"/>
            </w:pPr>
            <w:r>
              <w:rPr>
                <w:rFonts w:ascii="Times New Roman" w:hAnsi="Times New Roman"/>
                <w:b/>
                <w:sz w:val="22"/>
              </w:rPr>
              <w:t>P_med (W)</w:t>
            </w:r>
          </w:p>
        </w:tc>
        <w:tc>
          <w:tcPr>
            <w:tcW w:type="dxa" w:w="964"/>
          </w:tcPr>
          <w:p>
            <w:pPr>
              <w:spacing w:before="0" w:after="0"/>
              <w:ind w:firstLine="0"/>
              <w:jc w:val="left"/>
            </w:pPr>
            <w:r>
              <w:rPr>
                <w:rFonts w:ascii="Times New Roman" w:hAnsi="Times New Roman"/>
                <w:b/>
                <w:sz w:val="22"/>
              </w:rPr>
              <w:t>P_max (W)</w:t>
            </w:r>
          </w:p>
        </w:tc>
        <w:tc>
          <w:tcPr>
            <w:tcW w:type="dxa" w:w="964"/>
          </w:tcPr>
          <w:p>
            <w:pPr>
              <w:spacing w:before="0" w:after="0"/>
              <w:ind w:firstLine="0"/>
              <w:jc w:val="left"/>
            </w:pPr>
            <w:r>
              <w:rPr>
                <w:rFonts w:ascii="Times New Roman" w:hAnsi="Times New Roman"/>
                <w:b/>
                <w:sz w:val="22"/>
              </w:rPr>
              <w:t>t_sesiune (min)</w:t>
            </w:r>
          </w:p>
        </w:tc>
        <w:tc>
          <w:tcPr>
            <w:tcW w:type="dxa" w:w="964"/>
          </w:tcPr>
          <w:p>
            <w:pPr>
              <w:spacing w:before="0" w:after="0"/>
              <w:ind w:firstLine="0"/>
              <w:jc w:val="left"/>
            </w:pPr>
            <w:r>
              <w:rPr>
                <w:rFonts w:ascii="Times New Roman" w:hAnsi="Times New Roman"/>
                <w:b/>
                <w:sz w:val="22"/>
              </w:rPr>
              <w:t>E_sesiune (Wh)</w:t>
            </w:r>
          </w:p>
        </w:tc>
        <w:tc>
          <w:tcPr>
            <w:tcW w:type="dxa" w:w="964"/>
          </w:tcPr>
          <w:p>
            <w:pPr>
              <w:spacing w:before="0" w:after="0"/>
              <w:ind w:firstLine="0"/>
              <w:jc w:val="left"/>
            </w:pPr>
            <w:r>
              <w:rPr>
                <w:rFonts w:ascii="Times New Roman" w:hAnsi="Times New Roman"/>
                <w:b/>
                <w:sz w:val="22"/>
              </w:rPr>
              <w:t>Sesiuni/săpt.</w:t>
            </w:r>
          </w:p>
        </w:tc>
        <w:tc>
          <w:tcPr>
            <w:tcW w:type="dxa" w:w="964"/>
          </w:tcPr>
          <w:p>
            <w:pPr>
              <w:spacing w:before="0" w:after="0"/>
              <w:ind w:firstLine="0"/>
              <w:jc w:val="left"/>
            </w:pPr>
            <w:r>
              <w:rPr>
                <w:rFonts w:ascii="Times New Roman" w:hAnsi="Times New Roman"/>
                <w:b/>
                <w:sz w:val="22"/>
              </w:rPr>
              <w:t>E_an (kWh/cap)</w:t>
            </w:r>
          </w:p>
        </w:tc>
      </w:tr>
      <w:tr>
        <w:tc>
          <w:tcPr>
            <w:tcW w:type="dxa" w:w="964"/>
          </w:tcPr>
          <w:p>
            <w:pPr>
              <w:spacing w:before="0" w:after="0"/>
              <w:ind w:firstLine="0"/>
              <w:jc w:val="left"/>
            </w:pPr>
            <w:r>
              <w:rPr>
                <w:rFonts w:ascii="Times New Roman" w:hAnsi="Times New Roman"/>
                <w:sz w:val="22"/>
              </w:rPr>
              <w:t>Adult sedentar — mers lent (Stepper/Dale)</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12</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3</w:t>
            </w:r>
          </w:p>
        </w:tc>
        <w:tc>
          <w:tcPr>
            <w:tcW w:type="dxa" w:w="964"/>
          </w:tcPr>
          <w:p>
            <w:pPr>
              <w:spacing w:before="0" w:after="0"/>
              <w:ind w:firstLine="0"/>
              <w:jc w:val="left"/>
            </w:pPr>
            <w:r>
              <w:rPr>
                <w:rFonts w:ascii="Times New Roman" w:hAnsi="Times New Roman"/>
                <w:sz w:val="22"/>
              </w:rPr>
              <w:t>0.62</w:t>
            </w:r>
          </w:p>
        </w:tc>
      </w:tr>
      <w:tr>
        <w:tc>
          <w:tcPr>
            <w:tcW w:type="dxa" w:w="964"/>
          </w:tcPr>
          <w:p>
            <w:pPr>
              <w:spacing w:before="0" w:after="0"/>
              <w:ind w:firstLine="0"/>
              <w:jc w:val="left"/>
            </w:pPr>
            <w:r>
              <w:rPr>
                <w:rFonts w:ascii="Times New Roman" w:hAnsi="Times New Roman"/>
                <w:sz w:val="22"/>
              </w:rPr>
              <w:t>Adult activ — ciclism ușor (Bicicletă)</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65</w:t>
            </w:r>
          </w:p>
        </w:tc>
        <w:tc>
          <w:tcPr>
            <w:tcW w:type="dxa" w:w="964"/>
          </w:tcPr>
          <w:p>
            <w:pPr>
              <w:spacing w:before="0" w:after="0"/>
              <w:ind w:firstLine="0"/>
              <w:jc w:val="left"/>
            </w:pPr>
            <w:r>
              <w:rPr>
                <w:rFonts w:ascii="Times New Roman" w:hAnsi="Times New Roman"/>
                <w:sz w:val="22"/>
              </w:rPr>
              <w:t>120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32.5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6.76</w:t>
            </w:r>
          </w:p>
        </w:tc>
      </w:tr>
      <w:tr>
        <w:tc>
          <w:tcPr>
            <w:tcW w:type="dxa" w:w="964"/>
          </w:tcPr>
          <w:p>
            <w:pPr>
              <w:spacing w:before="0" w:after="0"/>
              <w:ind w:firstLine="0"/>
              <w:jc w:val="left"/>
            </w:pPr>
            <w:r>
              <w:rPr>
                <w:rFonts w:ascii="Times New Roman" w:hAnsi="Times New Roman"/>
                <w:sz w:val="22"/>
              </w:rPr>
              <w:t>Adult activ — eliptică moderată</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55</w:t>
            </w:r>
          </w:p>
        </w:tc>
        <w:tc>
          <w:tcPr>
            <w:tcW w:type="dxa" w:w="964"/>
          </w:tcPr>
          <w:p>
            <w:pPr>
              <w:spacing w:before="0" w:after="0"/>
              <w:ind w:firstLine="0"/>
              <w:jc w:val="left"/>
            </w:pPr>
            <w:r>
              <w:rPr>
                <w:rFonts w:ascii="Times New Roman" w:hAnsi="Times New Roman"/>
                <w:sz w:val="22"/>
              </w:rPr>
              <w:t>100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27.5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5.72</w:t>
            </w:r>
          </w:p>
        </w:tc>
      </w:tr>
      <w:tr>
        <w:tc>
          <w:tcPr>
            <w:tcW w:type="dxa" w:w="964"/>
          </w:tcPr>
          <w:p>
            <w:pPr>
              <w:spacing w:before="0" w:after="0"/>
              <w:ind w:firstLine="0"/>
              <w:jc w:val="left"/>
            </w:pPr>
            <w:r>
              <w:rPr>
                <w:rFonts w:ascii="Times New Roman" w:hAnsi="Times New Roman"/>
                <w:sz w:val="22"/>
              </w:rPr>
              <w:t>Adult sportiv — ciclism intens</w:t>
            </w:r>
          </w:p>
        </w:tc>
        <w:tc>
          <w:tcPr>
            <w:tcW w:type="dxa" w:w="964"/>
          </w:tcPr>
          <w:p>
            <w:pPr>
              <w:spacing w:before="0" w:after="0"/>
              <w:ind w:firstLine="0"/>
              <w:jc w:val="left"/>
            </w:pPr>
            <w:r>
              <w:rPr>
                <w:rFonts w:ascii="Times New Roman" w:hAnsi="Times New Roman"/>
                <w:sz w:val="22"/>
              </w:rPr>
              <w:t>60</w:t>
            </w:r>
          </w:p>
        </w:tc>
        <w:tc>
          <w:tcPr>
            <w:tcW w:type="dxa" w:w="964"/>
          </w:tcPr>
          <w:p>
            <w:pPr>
              <w:spacing w:before="0" w:after="0"/>
              <w:ind w:firstLine="0"/>
              <w:jc w:val="left"/>
            </w:pPr>
            <w:r>
              <w:rPr>
                <w:rFonts w:ascii="Times New Roman" w:hAnsi="Times New Roman"/>
                <w:sz w:val="22"/>
              </w:rPr>
              <w:t>110</w:t>
            </w:r>
          </w:p>
        </w:tc>
        <w:tc>
          <w:tcPr>
            <w:tcW w:type="dxa" w:w="964"/>
          </w:tcPr>
          <w:p>
            <w:pPr>
              <w:spacing w:before="0" w:after="0"/>
              <w:ind w:firstLine="0"/>
              <w:jc w:val="left"/>
            </w:pPr>
            <w:r>
              <w:rPr>
                <w:rFonts w:ascii="Times New Roman" w:hAnsi="Times New Roman"/>
                <w:sz w:val="22"/>
              </w:rPr>
              <w:t>180</w:t>
            </w:r>
          </w:p>
        </w:tc>
        <w:tc>
          <w:tcPr>
            <w:tcW w:type="dxa" w:w="964"/>
          </w:tcPr>
          <w:p>
            <w:pPr>
              <w:spacing w:before="0" w:after="0"/>
              <w:ind w:firstLine="0"/>
              <w:jc w:val="left"/>
            </w:pPr>
            <w:r>
              <w:rPr>
                <w:rFonts w:ascii="Times New Roman" w:hAnsi="Times New Roman"/>
                <w:sz w:val="22"/>
              </w:rPr>
              <w:t>45</w:t>
            </w:r>
          </w:p>
        </w:tc>
        <w:tc>
          <w:tcPr>
            <w:tcW w:type="dxa" w:w="964"/>
          </w:tcPr>
          <w:p>
            <w:pPr>
              <w:spacing w:before="0" w:after="0"/>
              <w:ind w:firstLine="0"/>
              <w:jc w:val="left"/>
            </w:pPr>
            <w:r>
              <w:rPr>
                <w:rFonts w:ascii="Times New Roman" w:hAnsi="Times New Roman"/>
                <w:sz w:val="22"/>
              </w:rPr>
              <w:t>82.5</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21.5</w:t>
            </w:r>
          </w:p>
        </w:tc>
      </w:tr>
      <w:tr>
        <w:tc>
          <w:tcPr>
            <w:tcW w:type="dxa" w:w="964"/>
          </w:tcPr>
          <w:p>
            <w:pPr>
              <w:spacing w:before="0" w:after="0"/>
              <w:ind w:firstLine="0"/>
              <w:jc w:val="left"/>
            </w:pPr>
            <w:r>
              <w:rPr>
                <w:rFonts w:ascii="Times New Roman" w:hAnsi="Times New Roman"/>
                <w:sz w:val="22"/>
              </w:rPr>
              <w:t>Adult sportiv — vâslit</w:t>
            </w:r>
          </w:p>
        </w:tc>
        <w:tc>
          <w:tcPr>
            <w:tcW w:type="dxa" w:w="964"/>
          </w:tcPr>
          <w:p>
            <w:pPr>
              <w:spacing w:before="0" w:after="0"/>
              <w:ind w:firstLine="0"/>
              <w:jc w:val="left"/>
            </w:pPr>
            <w:r>
              <w:rPr>
                <w:rFonts w:ascii="Times New Roman" w:hAnsi="Times New Roman"/>
                <w:sz w:val="22"/>
              </w:rPr>
              <w:t>50</w:t>
            </w:r>
          </w:p>
        </w:tc>
        <w:tc>
          <w:tcPr>
            <w:tcW w:type="dxa" w:w="964"/>
          </w:tcPr>
          <w:p>
            <w:pPr>
              <w:spacing w:before="0" w:after="0"/>
              <w:ind w:firstLine="0"/>
              <w:jc w:val="left"/>
            </w:pPr>
            <w:r>
              <w:rPr>
                <w:rFonts w:ascii="Times New Roman" w:hAnsi="Times New Roman"/>
                <w:sz w:val="22"/>
              </w:rPr>
              <w:t>100</w:t>
            </w:r>
          </w:p>
        </w:tc>
        <w:tc>
          <w:tcPr>
            <w:tcW w:type="dxa" w:w="964"/>
          </w:tcPr>
          <w:p>
            <w:pPr>
              <w:spacing w:before="0" w:after="0"/>
              <w:ind w:firstLine="0"/>
              <w:jc w:val="left"/>
            </w:pPr>
            <w:r>
              <w:rPr>
                <w:rFonts w:ascii="Times New Roman" w:hAnsi="Times New Roman"/>
                <w:sz w:val="22"/>
              </w:rPr>
              <w:t>160</w:t>
            </w:r>
          </w:p>
        </w:tc>
        <w:tc>
          <w:tcPr>
            <w:tcW w:type="dxa" w:w="964"/>
          </w:tcPr>
          <w:p>
            <w:pPr>
              <w:spacing w:before="0" w:after="0"/>
              <w:ind w:firstLine="0"/>
              <w:jc w:val="left"/>
            </w:pPr>
            <w:r>
              <w:rPr>
                <w:rFonts w:ascii="Times New Roman" w:hAnsi="Times New Roman"/>
                <w:sz w:val="22"/>
              </w:rPr>
              <w:t>40</w:t>
            </w:r>
          </w:p>
        </w:tc>
        <w:tc>
          <w:tcPr>
            <w:tcW w:type="dxa" w:w="964"/>
          </w:tcPr>
          <w:p>
            <w:pPr>
              <w:spacing w:before="0" w:after="0"/>
              <w:ind w:firstLine="0"/>
              <w:jc w:val="left"/>
            </w:pPr>
            <w:r>
              <w:rPr>
                <w:rFonts w:ascii="Times New Roman" w:hAnsi="Times New Roman"/>
                <w:sz w:val="22"/>
              </w:rPr>
              <w:t>66.7</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13.9</w:t>
            </w:r>
          </w:p>
        </w:tc>
      </w:tr>
      <w:tr>
        <w:tc>
          <w:tcPr>
            <w:tcW w:type="dxa" w:w="964"/>
          </w:tcPr>
          <w:p>
            <w:pPr>
              <w:spacing w:before="0" w:after="0"/>
              <w:ind w:firstLine="0"/>
              <w:jc w:val="left"/>
            </w:pPr>
            <w:r>
              <w:rPr>
                <w:rFonts w:ascii="Times New Roman" w:hAnsi="Times New Roman"/>
                <w:sz w:val="22"/>
              </w:rPr>
              <w:t>Copil — activitate joasă (dale piezo)</w:t>
            </w:r>
          </w:p>
        </w:tc>
        <w:tc>
          <w:tcPr>
            <w:tcW w:type="dxa" w:w="964"/>
          </w:tcPr>
          <w:p>
            <w:pPr>
              <w:spacing w:before="0" w:after="0"/>
              <w:ind w:firstLine="0"/>
              <w:jc w:val="left"/>
            </w:pPr>
            <w:r>
              <w:rPr>
                <w:rFonts w:ascii="Times New Roman" w:hAnsi="Times New Roman"/>
                <w:sz w:val="22"/>
              </w:rPr>
              <w:t>2</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10</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7</w:t>
            </w:r>
          </w:p>
        </w:tc>
        <w:tc>
          <w:tcPr>
            <w:tcW w:type="dxa" w:w="964"/>
          </w:tcPr>
          <w:p>
            <w:pPr>
              <w:spacing w:before="0" w:after="0"/>
              <w:ind w:firstLine="0"/>
              <w:jc w:val="left"/>
            </w:pPr>
            <w:r>
              <w:rPr>
                <w:rFonts w:ascii="Times New Roman" w:hAnsi="Times New Roman"/>
                <w:sz w:val="22"/>
              </w:rPr>
              <w:t>0.91</w:t>
            </w:r>
          </w:p>
        </w:tc>
      </w:tr>
      <w:tr>
        <w:tc>
          <w:tcPr>
            <w:tcW w:type="dxa" w:w="964"/>
          </w:tcPr>
          <w:p>
            <w:pPr>
              <w:spacing w:before="0" w:after="0"/>
              <w:ind w:firstLine="0"/>
              <w:jc w:val="left"/>
            </w:pPr>
            <w:r>
              <w:rPr>
                <w:rFonts w:ascii="Times New Roman" w:hAnsi="Times New Roman"/>
                <w:sz w:val="22"/>
              </w:rPr>
              <w:t>Vârstnic — mișcare ușoară (bancă + stepper)</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15</w:t>
            </w:r>
          </w:p>
        </w:tc>
        <w:tc>
          <w:tcPr>
            <w:tcW w:type="dxa" w:w="964"/>
          </w:tcPr>
          <w:p>
            <w:pPr>
              <w:spacing w:before="0" w:after="0"/>
              <w:ind w:firstLine="0"/>
              <w:jc w:val="left"/>
            </w:pPr>
            <w:r>
              <w:rPr>
                <w:rFonts w:ascii="Times New Roman" w:hAnsi="Times New Roman"/>
                <w:sz w:val="22"/>
              </w:rPr>
              <w:t>30</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5</w:t>
            </w:r>
          </w:p>
        </w:tc>
        <w:tc>
          <w:tcPr>
            <w:tcW w:type="dxa" w:w="964"/>
          </w:tcPr>
          <w:p>
            <w:pPr>
              <w:spacing w:before="0" w:after="0"/>
              <w:ind w:firstLine="0"/>
              <w:jc w:val="left"/>
            </w:pPr>
            <w:r>
              <w:rPr>
                <w:rFonts w:ascii="Times New Roman" w:hAnsi="Times New Roman"/>
                <w:sz w:val="22"/>
              </w:rPr>
              <w:t>4</w:t>
            </w:r>
          </w:p>
        </w:tc>
        <w:tc>
          <w:tcPr>
            <w:tcW w:type="dxa" w:w="964"/>
          </w:tcPr>
          <w:p>
            <w:pPr>
              <w:spacing w:before="0" w:after="0"/>
              <w:ind w:firstLine="0"/>
              <w:jc w:val="left"/>
            </w:pPr>
            <w:r>
              <w:rPr>
                <w:rFonts w:ascii="Times New Roman" w:hAnsi="Times New Roman"/>
                <w:sz w:val="22"/>
              </w:rPr>
              <w:t>1.04</w:t>
            </w:r>
          </w:p>
        </w:tc>
      </w:tr>
      <w:tr>
        <w:tc>
          <w:tcPr>
            <w:tcW w:type="dxa" w:w="964"/>
          </w:tcPr>
          <w:p>
            <w:pPr>
              <w:spacing w:before="0" w:after="0"/>
              <w:ind w:firstLine="0"/>
              <w:jc w:val="left"/>
            </w:pPr>
            <w:r>
              <w:rPr>
                <w:rFonts w:ascii="Times New Roman" w:hAnsi="Times New Roman"/>
                <w:sz w:val="22"/>
              </w:rPr>
              <w:t>MEDIE PONDERATĂ COMUNITATE</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w:t>
            </w:r>
          </w:p>
        </w:tc>
        <w:tc>
          <w:tcPr>
            <w:tcW w:type="dxa" w:w="964"/>
          </w:tcPr>
          <w:p>
            <w:pPr>
              <w:spacing w:before="0" w:after="0"/>
              <w:ind w:firstLine="0"/>
              <w:jc w:val="left"/>
            </w:pPr>
            <w:r>
              <w:rPr>
                <w:rFonts w:ascii="Times New Roman" w:hAnsi="Times New Roman"/>
                <w:sz w:val="22"/>
              </w:rPr>
              <w:t>20</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3.6</w:t>
            </w:r>
          </w:p>
        </w:tc>
      </w:tr>
    </w:tbl>
    <w:p>
      <w:pPr>
        <w:ind w:firstLine="0"/>
      </w:pPr>
    </w:p>
    <w:p>
      <w:pPr>
        <w:ind w:firstLine="0"/>
      </w:pPr>
    </w:p>
    <w:p>
      <w:pPr>
        <w:pStyle w:val="SubHeading"/>
        <w:keepNext/>
      </w:pPr>
      <w:r>
        <w:t>4.3 Aplicație numerică — comunitate de 500 membri</w:t>
      </w:r>
    </w:p>
    <w:p>
      <w:pPr>
        <w:ind w:firstLine="0"/>
      </w:pPr>
    </w:p>
    <w:p>
      <w:pPr>
        <w:ind w:firstLine="0"/>
        <w:tabs>
          <w:tab w:val="center" w:pos="3855"/>
          <w:tab w:val="right" w:pos="7710"/>
        </w:tabs>
        <w:jc w:val="left"/>
      </w:pPr>
      <w:r>
        <w:rPr>
          <w:rFonts w:ascii="Times New Roman" w:hAnsi="Times New Roman"/>
          <w:sz w:val="22"/>
        </w:rPr>
        <w:tab/>
      </w:r>
      <w:r>
        <w:rPr>
          <w:rFonts w:ascii="Times New Roman" w:hAnsi="Times New Roman"/>
          <w:sz w:val="22"/>
        </w:rPr>
        <w:t>E</w:t>
      </w:r>
      <w:r>
        <w:rPr>
          <w:rFonts w:ascii="Times New Roman" w:hAnsi="Times New Roman"/>
          <w:sz w:val="22"/>
          <w:vertAlign w:val="subscript"/>
        </w:rPr>
        <w:t>S2E</w:t>
      </w:r>
      <w:r>
        <w:rPr>
          <w:rFonts w:ascii="Times New Roman" w:hAnsi="Times New Roman"/>
          <w:sz w:val="22"/>
        </w:rPr>
        <w:t xml:space="preserve"> = 500 × 0.30 × 3.6 kWh/an = 540 kWh/an (efort uman) + </w:t>
      </w:r>
      <w:r>
        <w:rPr>
          <w:rFonts w:ascii="Times New Roman" w:hAnsi="Times New Roman"/>
          <w:sz w:val="22"/>
        </w:rPr>
        <w:t>E</w:t>
      </w:r>
      <w:r>
        <w:rPr>
          <w:rFonts w:ascii="Times New Roman" w:hAnsi="Times New Roman"/>
          <w:sz w:val="22"/>
          <w:vertAlign w:val="subscript"/>
        </w:rPr>
        <w:t>PVT</w:t>
      </w:r>
      <w:r>
        <w:rPr>
          <w:rFonts w:ascii="Times New Roman" w:hAnsi="Times New Roman"/>
          <w:sz w:val="22"/>
        </w:rPr>
        <w:t xml:space="preserve"> = 1.500 kWh/an (pergolă SymbiotyX, 2 kWp, zona Cluj/BN) </w:t>
      </w:r>
      <w:r>
        <w:rPr>
          <w:rFonts w:ascii="Times New Roman" w:hAnsi="Times New Roman"/>
          <w:sz w:val="22"/>
        </w:rPr>
        <w:t>E</w:t>
      </w:r>
      <w:r>
        <w:rPr>
          <w:rFonts w:ascii="Times New Roman" w:hAnsi="Times New Roman"/>
          <w:sz w:val="22"/>
          <w:vertAlign w:val="subscript"/>
        </w:rPr>
        <w:t>TOTAL_EB</w:t>
      </w:r>
      <w:r>
        <w:rPr>
          <w:rFonts w:ascii="Times New Roman" w:hAnsi="Times New Roman"/>
          <w:sz w:val="22"/>
        </w:rPr>
        <w:t>-S2E = ~2.040 kWh/an</w:t>
      </w:r>
      <w:r>
        <w:rPr>
          <w:rFonts w:ascii="Times New Roman" w:hAnsi="Times New Roman"/>
          <w:sz w:val="22"/>
        </w:rPr>
        <w:tab/>
        <w:t>(9)</w:t>
      </w:r>
    </w:p>
    <w:p>
      <w:pPr>
        <w:ind w:firstLine="0"/>
      </w:pPr>
      <w:r>
        <w:rPr>
          <w:rFonts w:ascii="Times New Roman" w:hAnsi="Times New Roman"/>
          <w:sz w:val="22"/>
        </w:rPr>
        <w:t>Participare 30% (150 persoane active), medie 3.6 kWh/cap/an. Iluminat public sat 200 case: ~600 kWh/an (lampi LED 10W, 8h/zi). EB-S2E asigură 340% din iluminatul public sau 100% din consumul propriu al HUB-ului digital.</w:t>
      </w:r>
    </w:p>
    <w:p>
      <w:pPr/>
      <w:r>
        <w:rPr>
          <w:b/>
        </w:rPr>
        <w:t>OBSERVATIE CRITICA: Valoarea energetică de ~540 kWh/an (efort uman) reprezintă ~0.09% din consumul electric al unui sat de 500 de case (estimat la 600.000 kWh/an). A trata S2E ca sursă energetică principală ar fi o eroare strategică. Valoarea reală este alta: S2E este un generator de participare, sănătate, conștientizare și tokeni comunitari — nu un generator de kWh. Aceasta nu diminuează importanța sa sistemică; o repoziționează corect.</w:t>
      </w:r>
    </w:p>
    <w:p>
      <w:pPr>
        <w:ind w:firstLine="0"/>
      </w:pPr>
    </w:p>
    <w:p>
      <w:pPr>
        <w:pStyle w:val="ChapterHeading"/>
        <w:keepNext/>
      </w:pPr>
      <w:r>
        <w:t>5. Cadrul Kpi — 25 Indicatori pe 4 Axe</w:t>
      </w:r>
    </w:p>
    <w:p>
      <w:pPr>
        <w:ind w:firstLine="0"/>
      </w:pPr>
    </w:p>
    <w:p>
      <w:pPr>
        <w:pStyle w:val="SubHeading"/>
        <w:keepNext/>
      </w:pPr>
      <w:r>
        <w:t>5.1 Filosofia cadrului kpi</w:t>
      </w:r>
    </w:p>
    <w:p>
      <w:pPr>
        <w:ind w:firstLine="0"/>
      </w:pPr>
    </w:p>
    <w:p>
      <w:pPr/>
      <w:r>
        <w:t>Cadrul de indicatori de performanță al sistemului S2E reflectă natura sa multi-dimensională: S2E nu este evaluabil printr-o singură metrică (nici kWh produși, nici număr de utilizatori). Propunem un cadru cu 25 indicatori structurați pe patru axe complementare, cu metodologie clară de calcul și frecvențe de raportare definite, integrabil în platforma DigitAll a Exergy Metasystem (modulele EMS, Cloud, App).</w:t>
      </w:r>
    </w:p>
    <w:p>
      <w:pPr/>
      <w:r>
        <w:t>Principiul de proiectare al cadrului KPI: fiecare indicator este calculabil din date disponibile în sistemele existente (EMS, App, senzori IoT), fără colectare manuală suplimentară. Frecvența maximă este determinată de latența sistemelor de monitorizare: 30 secunde pentru EMS, 5 minute pentru Cloud, lunar pentru raportarea consolidată.</w:t>
      </w:r>
    </w:p>
    <w:p>
      <w:pPr>
        <w:ind w:firstLine="0"/>
      </w:pPr>
    </w:p>
    <w:p>
      <w:pPr>
        <w:pStyle w:val="TableCaption"/>
      </w:pPr>
      <w:r>
        <w:t>Tabel 5. Cadrul complet KPI al sistemului Exergy Sport-to-Energy. 25 indicatori pe 4 axe: Energetici (KPI-S01–S06), Sociali/Sănătate (KPI-S07–S13), Tehnici/Operaționali (KPI-S14–S19), Economici/Mediu (KPI-S20–S25). Sursă: elaborare proprie pe baza Model Spec S2E V2, EnEx Institute 2025; framework-uri KPI IEA DHC 2024 și ISO 50001.</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Indicator de Performanță</w:t>
            </w:r>
          </w:p>
        </w:tc>
        <w:tc>
          <w:tcPr>
            <w:tcW w:type="dxa" w:w="1285"/>
          </w:tcPr>
          <w:p>
            <w:pPr>
              <w:spacing w:before="0" w:after="0"/>
              <w:ind w:firstLine="0"/>
              <w:jc w:val="left"/>
            </w:pPr>
            <w:r>
              <w:rPr>
                <w:rFonts w:ascii="Times New Roman" w:hAnsi="Times New Roman"/>
                <w:b/>
                <w:sz w:val="22"/>
              </w:rPr>
              <w:t>Cod</w:t>
            </w:r>
          </w:p>
        </w:tc>
        <w:tc>
          <w:tcPr>
            <w:tcW w:type="dxa" w:w="1285"/>
          </w:tcPr>
          <w:p>
            <w:pPr>
              <w:spacing w:before="0" w:after="0"/>
              <w:ind w:firstLine="0"/>
              <w:jc w:val="left"/>
            </w:pPr>
            <w:r>
              <w:rPr>
                <w:rFonts w:ascii="Times New Roman" w:hAnsi="Times New Roman"/>
                <w:b/>
                <w:sz w:val="22"/>
              </w:rPr>
              <w:t>Target</w:t>
            </w:r>
          </w:p>
        </w:tc>
        <w:tc>
          <w:tcPr>
            <w:tcW w:type="dxa" w:w="1285"/>
          </w:tcPr>
          <w:p>
            <w:pPr>
              <w:spacing w:before="0" w:after="0"/>
              <w:ind w:firstLine="0"/>
              <w:jc w:val="left"/>
            </w:pPr>
            <w:r>
              <w:rPr>
                <w:rFonts w:ascii="Times New Roman" w:hAnsi="Times New Roman"/>
                <w:b/>
                <w:sz w:val="22"/>
              </w:rPr>
              <w:t>UM</w:t>
            </w:r>
          </w:p>
        </w:tc>
        <w:tc>
          <w:tcPr>
            <w:tcW w:type="dxa" w:w="1285"/>
          </w:tcPr>
          <w:p>
            <w:pPr>
              <w:spacing w:before="0" w:after="0"/>
              <w:ind w:firstLine="0"/>
              <w:jc w:val="left"/>
            </w:pPr>
            <w:r>
              <w:rPr>
                <w:rFonts w:ascii="Times New Roman" w:hAnsi="Times New Roman"/>
                <w:b/>
                <w:sz w:val="22"/>
              </w:rPr>
              <w:t>Frecv.</w:t>
            </w:r>
          </w:p>
        </w:tc>
        <w:tc>
          <w:tcPr>
            <w:tcW w:type="dxa" w:w="1285"/>
          </w:tcPr>
          <w:p>
            <w:pPr>
              <w:spacing w:before="0" w:after="0"/>
              <w:ind w:firstLine="0"/>
              <w:jc w:val="left"/>
            </w:pPr>
            <w:r>
              <w:rPr>
                <w:rFonts w:ascii="Times New Roman" w:hAnsi="Times New Roman"/>
                <w:b/>
                <w:sz w:val="22"/>
              </w:rPr>
              <w:t>Metodă de Calcul / Sursă</w:t>
            </w:r>
          </w:p>
        </w:tc>
      </w:tr>
      <w:tr>
        <w:tc>
          <w:tcPr>
            <w:tcW w:type="dxa" w:w="1285"/>
          </w:tcPr>
          <w:p>
            <w:pPr>
              <w:spacing w:before="0" w:after="0"/>
              <w:ind w:firstLine="0"/>
              <w:jc w:val="left"/>
            </w:pPr>
            <w:r>
              <w:rPr>
                <w:rFonts w:ascii="Times New Roman" w:hAnsi="Times New Roman"/>
                <w:sz w:val="22"/>
              </w:rPr>
              <w:t>KPI ENERGETICI</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Producție electrică S2E per capita</w:t>
            </w:r>
          </w:p>
        </w:tc>
        <w:tc>
          <w:tcPr>
            <w:tcW w:type="dxa" w:w="1285"/>
          </w:tcPr>
          <w:p>
            <w:pPr>
              <w:spacing w:before="0" w:after="0"/>
              <w:ind w:firstLine="0"/>
              <w:jc w:val="left"/>
            </w:pPr>
            <w:r>
              <w:rPr>
                <w:rFonts w:ascii="Times New Roman" w:hAnsi="Times New Roman"/>
                <w:sz w:val="22"/>
              </w:rPr>
              <w:t>KPI-S01</w:t>
            </w:r>
          </w:p>
        </w:tc>
        <w:tc>
          <w:tcPr>
            <w:tcW w:type="dxa" w:w="1285"/>
          </w:tcPr>
          <w:p>
            <w:pPr>
              <w:spacing w:before="0" w:after="0"/>
              <w:ind w:firstLine="0"/>
              <w:jc w:val="left"/>
            </w:pPr>
            <w:r>
              <w:rPr>
                <w:rFonts w:ascii="Times New Roman" w:hAnsi="Times New Roman"/>
                <w:sz w:val="22"/>
              </w:rPr>
              <w:t>≥2 kWh/cap/an</w:t>
            </w:r>
          </w:p>
        </w:tc>
        <w:tc>
          <w:tcPr>
            <w:tcW w:type="dxa" w:w="1285"/>
          </w:tcPr>
          <w:p>
            <w:pPr>
              <w:spacing w:before="0" w:after="0"/>
              <w:ind w:firstLine="0"/>
              <w:jc w:val="left"/>
            </w:pPr>
            <w:r>
              <w:rPr>
                <w:rFonts w:ascii="Times New Roman" w:hAnsi="Times New Roman"/>
                <w:sz w:val="22"/>
              </w:rPr>
              <w:t>kWh/cap/an</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EMS – contor per echipament agregat per utilizator</w:t>
            </w:r>
          </w:p>
        </w:tc>
      </w:tr>
      <w:tr>
        <w:tc>
          <w:tcPr>
            <w:tcW w:type="dxa" w:w="1285"/>
          </w:tcPr>
          <w:p>
            <w:pPr>
              <w:spacing w:before="0" w:after="0"/>
              <w:ind w:firstLine="0"/>
              <w:jc w:val="left"/>
            </w:pPr>
            <w:r>
              <w:rPr>
                <w:rFonts w:ascii="Times New Roman" w:hAnsi="Times New Roman"/>
                <w:sz w:val="22"/>
              </w:rPr>
              <w:t>Producție PVT pergolă SymbiotyX</w:t>
            </w:r>
          </w:p>
        </w:tc>
        <w:tc>
          <w:tcPr>
            <w:tcW w:type="dxa" w:w="1285"/>
          </w:tcPr>
          <w:p>
            <w:pPr>
              <w:spacing w:before="0" w:after="0"/>
              <w:ind w:firstLine="0"/>
              <w:jc w:val="left"/>
            </w:pPr>
            <w:r>
              <w:rPr>
                <w:rFonts w:ascii="Times New Roman" w:hAnsi="Times New Roman"/>
                <w:sz w:val="22"/>
              </w:rPr>
              <w:t>KPI-S02</w:t>
            </w:r>
          </w:p>
        </w:tc>
        <w:tc>
          <w:tcPr>
            <w:tcW w:type="dxa" w:w="1285"/>
          </w:tcPr>
          <w:p>
            <w:pPr>
              <w:spacing w:before="0" w:after="0"/>
              <w:ind w:firstLine="0"/>
              <w:jc w:val="left"/>
            </w:pPr>
            <w:r>
              <w:rPr>
                <w:rFonts w:ascii="Times New Roman" w:hAnsi="Times New Roman"/>
                <w:sz w:val="22"/>
              </w:rPr>
              <w:t>≥1.200 kWh/an</w:t>
            </w:r>
          </w:p>
        </w:tc>
        <w:tc>
          <w:tcPr>
            <w:tcW w:type="dxa" w:w="1285"/>
          </w:tcPr>
          <w:p>
            <w:pPr>
              <w:spacing w:before="0" w:after="0"/>
              <w:ind w:firstLine="0"/>
              <w:jc w:val="left"/>
            </w:pPr>
            <w:r>
              <w:rPr>
                <w:rFonts w:ascii="Times New Roman" w:hAnsi="Times New Roman"/>
                <w:sz w:val="22"/>
              </w:rPr>
              <w:t>kWh/an</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EMS – invertor PVT; calculat din iradiere × η_PV</w:t>
            </w:r>
          </w:p>
        </w:tc>
      </w:tr>
      <w:tr>
        <w:tc>
          <w:tcPr>
            <w:tcW w:type="dxa" w:w="1285"/>
          </w:tcPr>
          <w:p>
            <w:pPr>
              <w:spacing w:before="0" w:after="0"/>
              <w:ind w:firstLine="0"/>
              <w:jc w:val="left"/>
            </w:pPr>
            <w:r>
              <w:rPr>
                <w:rFonts w:ascii="Times New Roman" w:hAnsi="Times New Roman"/>
                <w:sz w:val="22"/>
              </w:rPr>
              <w:t>Putere medie per echipament activ</w:t>
            </w:r>
          </w:p>
        </w:tc>
        <w:tc>
          <w:tcPr>
            <w:tcW w:type="dxa" w:w="1285"/>
          </w:tcPr>
          <w:p>
            <w:pPr>
              <w:spacing w:before="0" w:after="0"/>
              <w:ind w:firstLine="0"/>
              <w:jc w:val="left"/>
            </w:pPr>
            <w:r>
              <w:rPr>
                <w:rFonts w:ascii="Times New Roman" w:hAnsi="Times New Roman"/>
                <w:sz w:val="22"/>
              </w:rPr>
              <w:t>KPI-S03</w:t>
            </w:r>
          </w:p>
        </w:tc>
        <w:tc>
          <w:tcPr>
            <w:tcW w:type="dxa" w:w="1285"/>
          </w:tcPr>
          <w:p>
            <w:pPr>
              <w:spacing w:before="0" w:after="0"/>
              <w:ind w:firstLine="0"/>
              <w:jc w:val="left"/>
            </w:pPr>
            <w:r>
              <w:rPr>
                <w:rFonts w:ascii="Times New Roman" w:hAnsi="Times New Roman"/>
                <w:sz w:val="22"/>
              </w:rPr>
              <w:t>≥40 W</w:t>
            </w:r>
          </w:p>
        </w:tc>
        <w:tc>
          <w:tcPr>
            <w:tcW w:type="dxa" w:w="1285"/>
          </w:tcPr>
          <w:p>
            <w:pPr>
              <w:spacing w:before="0" w:after="0"/>
              <w:ind w:firstLine="0"/>
              <w:jc w:val="left"/>
            </w:pPr>
            <w:r>
              <w:rPr>
                <w:rFonts w:ascii="Times New Roman" w:hAnsi="Times New Roman"/>
                <w:sz w:val="22"/>
              </w:rPr>
              <w:t>W</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EMS – P_inst mediat pe 10 min per echipament</w:t>
            </w:r>
          </w:p>
        </w:tc>
      </w:tr>
      <w:tr>
        <w:tc>
          <w:tcPr>
            <w:tcW w:type="dxa" w:w="1285"/>
          </w:tcPr>
          <w:p>
            <w:pPr>
              <w:spacing w:before="0" w:after="0"/>
              <w:ind w:firstLine="0"/>
              <w:jc w:val="left"/>
            </w:pPr>
            <w:r>
              <w:rPr>
                <w:rFonts w:ascii="Times New Roman" w:hAnsi="Times New Roman"/>
                <w:sz w:val="22"/>
              </w:rPr>
              <w:t>Factor de utilizare echipamente</w:t>
            </w:r>
          </w:p>
        </w:tc>
        <w:tc>
          <w:tcPr>
            <w:tcW w:type="dxa" w:w="1285"/>
          </w:tcPr>
          <w:p>
            <w:pPr>
              <w:spacing w:before="0" w:after="0"/>
              <w:ind w:firstLine="0"/>
              <w:jc w:val="left"/>
            </w:pPr>
            <w:r>
              <w:rPr>
                <w:rFonts w:ascii="Times New Roman" w:hAnsi="Times New Roman"/>
                <w:sz w:val="22"/>
              </w:rPr>
              <w:t>KPI-S04</w:t>
            </w:r>
          </w:p>
        </w:tc>
        <w:tc>
          <w:tcPr>
            <w:tcW w:type="dxa" w:w="1285"/>
          </w:tcPr>
          <w:p>
            <w:pPr>
              <w:spacing w:before="0" w:after="0"/>
              <w:ind w:firstLine="0"/>
              <w:jc w:val="left"/>
            </w:pPr>
            <w:r>
              <w:rPr>
                <w:rFonts w:ascii="Times New Roman" w:hAnsi="Times New Roman"/>
                <w:sz w:val="22"/>
              </w:rPr>
              <w:t>≥25%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FU = Ore utilizate / Ore disponibile × 100</w:t>
            </w:r>
          </w:p>
        </w:tc>
      </w:tr>
      <w:tr>
        <w:tc>
          <w:tcPr>
            <w:tcW w:type="dxa" w:w="1285"/>
          </w:tcPr>
          <w:p>
            <w:pPr>
              <w:spacing w:before="0" w:after="0"/>
              <w:ind w:firstLine="0"/>
              <w:jc w:val="left"/>
            </w:pPr>
            <w:r>
              <w:rPr>
                <w:rFonts w:ascii="Times New Roman" w:hAnsi="Times New Roman"/>
                <w:sz w:val="22"/>
              </w:rPr>
              <w:t>Eficiență conversie medie sistem</w:t>
            </w:r>
          </w:p>
        </w:tc>
        <w:tc>
          <w:tcPr>
            <w:tcW w:type="dxa" w:w="1285"/>
          </w:tcPr>
          <w:p>
            <w:pPr>
              <w:spacing w:before="0" w:after="0"/>
              <w:ind w:firstLine="0"/>
              <w:jc w:val="left"/>
            </w:pPr>
            <w:r>
              <w:rPr>
                <w:rFonts w:ascii="Times New Roman" w:hAnsi="Times New Roman"/>
                <w:sz w:val="22"/>
              </w:rPr>
              <w:t>KPI-S05</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η_sistem = E_electrică / E_mecanică input × 100</w:t>
            </w:r>
          </w:p>
        </w:tc>
      </w:tr>
      <w:tr>
        <w:tc>
          <w:tcPr>
            <w:tcW w:type="dxa" w:w="1285"/>
          </w:tcPr>
          <w:p>
            <w:pPr>
              <w:spacing w:before="0" w:after="0"/>
              <w:ind w:firstLine="0"/>
              <w:jc w:val="left"/>
            </w:pPr>
            <w:r>
              <w:rPr>
                <w:rFonts w:ascii="Times New Roman" w:hAnsi="Times New Roman"/>
                <w:sz w:val="22"/>
              </w:rPr>
              <w:t>Energie livrată net în grid HUB</w:t>
            </w:r>
          </w:p>
        </w:tc>
        <w:tc>
          <w:tcPr>
            <w:tcW w:type="dxa" w:w="1285"/>
          </w:tcPr>
          <w:p>
            <w:pPr>
              <w:spacing w:before="0" w:after="0"/>
              <w:ind w:firstLine="0"/>
              <w:jc w:val="left"/>
            </w:pPr>
            <w:r>
              <w:rPr>
                <w:rFonts w:ascii="Times New Roman" w:hAnsi="Times New Roman"/>
                <w:sz w:val="22"/>
              </w:rPr>
              <w:t>KPI-S06</w:t>
            </w:r>
          </w:p>
        </w:tc>
        <w:tc>
          <w:tcPr>
            <w:tcW w:type="dxa" w:w="1285"/>
          </w:tcPr>
          <w:p>
            <w:pPr>
              <w:spacing w:before="0" w:after="0"/>
              <w:ind w:firstLine="0"/>
              <w:jc w:val="left"/>
            </w:pPr>
            <w:r>
              <w:rPr>
                <w:rFonts w:ascii="Times New Roman" w:hAnsi="Times New Roman"/>
                <w:sz w:val="22"/>
              </w:rPr>
              <w:t>≥90% din prod.</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Diferența față de consumul propriu (electronică, LED)</w:t>
            </w:r>
          </w:p>
        </w:tc>
      </w:tr>
      <w:tr>
        <w:tc>
          <w:tcPr>
            <w:tcW w:type="dxa" w:w="1285"/>
          </w:tcPr>
          <w:p>
            <w:pPr>
              <w:spacing w:before="0" w:after="0"/>
              <w:ind w:firstLine="0"/>
              <w:jc w:val="left"/>
            </w:pPr>
            <w:r>
              <w:rPr>
                <w:rFonts w:ascii="Times New Roman" w:hAnsi="Times New Roman"/>
                <w:sz w:val="22"/>
              </w:rPr>
              <w:t>KPI SOCIALI ȘI DE SĂNĂTATE</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Rată participare – membri activi lunar</w:t>
            </w:r>
          </w:p>
        </w:tc>
        <w:tc>
          <w:tcPr>
            <w:tcW w:type="dxa" w:w="1285"/>
          </w:tcPr>
          <w:p>
            <w:pPr>
              <w:spacing w:before="0" w:after="0"/>
              <w:ind w:firstLine="0"/>
              <w:jc w:val="left"/>
            </w:pPr>
            <w:r>
              <w:rPr>
                <w:rFonts w:ascii="Times New Roman" w:hAnsi="Times New Roman"/>
                <w:sz w:val="22"/>
              </w:rPr>
              <w:t>KPI-S07</w:t>
            </w:r>
          </w:p>
        </w:tc>
        <w:tc>
          <w:tcPr>
            <w:tcW w:type="dxa" w:w="1285"/>
          </w:tcPr>
          <w:p>
            <w:pPr>
              <w:spacing w:before="0" w:after="0"/>
              <w:ind w:firstLine="0"/>
              <w:jc w:val="left"/>
            </w:pPr>
            <w:r>
              <w:rPr>
                <w:rFonts w:ascii="Times New Roman" w:hAnsi="Times New Roman"/>
                <w:sz w:val="22"/>
              </w:rPr>
              <w:t>≥30% / țintă ≥60%</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App – utilizatori autentificați NFC / total membri</w:t>
            </w:r>
          </w:p>
        </w:tc>
      </w:tr>
      <w:tr>
        <w:tc>
          <w:tcPr>
            <w:tcW w:type="dxa" w:w="1285"/>
          </w:tcPr>
          <w:p>
            <w:pPr>
              <w:spacing w:before="0" w:after="0"/>
              <w:ind w:firstLine="0"/>
              <w:jc w:val="left"/>
            </w:pPr>
            <w:r>
              <w:rPr>
                <w:rFonts w:ascii="Times New Roman" w:hAnsi="Times New Roman"/>
                <w:sz w:val="22"/>
              </w:rPr>
              <w:t>Sesiuni medii per utilizator activ</w:t>
            </w:r>
          </w:p>
        </w:tc>
        <w:tc>
          <w:tcPr>
            <w:tcW w:type="dxa" w:w="1285"/>
          </w:tcPr>
          <w:p>
            <w:pPr>
              <w:spacing w:before="0" w:after="0"/>
              <w:ind w:firstLine="0"/>
              <w:jc w:val="left"/>
            </w:pPr>
            <w:r>
              <w:rPr>
                <w:rFonts w:ascii="Times New Roman" w:hAnsi="Times New Roman"/>
                <w:sz w:val="22"/>
              </w:rPr>
              <w:t>KPI-S08</w:t>
            </w:r>
          </w:p>
        </w:tc>
        <w:tc>
          <w:tcPr>
            <w:tcW w:type="dxa" w:w="1285"/>
          </w:tcPr>
          <w:p>
            <w:pPr>
              <w:spacing w:before="0" w:after="0"/>
              <w:ind w:firstLine="0"/>
              <w:jc w:val="left"/>
            </w:pPr>
            <w:r>
              <w:rPr>
                <w:rFonts w:ascii="Times New Roman" w:hAnsi="Times New Roman"/>
                <w:sz w:val="22"/>
              </w:rPr>
              <w:t>≥3 sesiuni/săpt.</w:t>
            </w:r>
          </w:p>
        </w:tc>
        <w:tc>
          <w:tcPr>
            <w:tcW w:type="dxa" w:w="1285"/>
          </w:tcPr>
          <w:p>
            <w:pPr>
              <w:spacing w:before="0" w:after="0"/>
              <w:ind w:firstLine="0"/>
              <w:jc w:val="left"/>
            </w:pPr>
            <w:r>
              <w:rPr>
                <w:rFonts w:ascii="Times New Roman" w:hAnsi="Times New Roman"/>
                <w:sz w:val="22"/>
              </w:rPr>
              <w:t>sesiuni</w:t>
            </w:r>
          </w:p>
        </w:tc>
        <w:tc>
          <w:tcPr>
            <w:tcW w:type="dxa" w:w="1285"/>
          </w:tcPr>
          <w:p>
            <w:pPr>
              <w:spacing w:before="0" w:after="0"/>
              <w:ind w:firstLine="0"/>
              <w:jc w:val="left"/>
            </w:pPr>
            <w:r>
              <w:rPr>
                <w:rFonts w:ascii="Times New Roman" w:hAnsi="Times New Roman"/>
                <w:sz w:val="22"/>
              </w:rPr>
              <w:t>Săptămânal</w:t>
            </w:r>
          </w:p>
        </w:tc>
        <w:tc>
          <w:tcPr>
            <w:tcW w:type="dxa" w:w="1285"/>
          </w:tcPr>
          <w:p>
            <w:pPr>
              <w:spacing w:before="0" w:after="0"/>
              <w:ind w:firstLine="0"/>
              <w:jc w:val="left"/>
            </w:pPr>
            <w:r>
              <w:rPr>
                <w:rFonts w:ascii="Times New Roman" w:hAnsi="Times New Roman"/>
                <w:sz w:val="22"/>
              </w:rPr>
              <w:t>App – count sesiuni per cont activ</w:t>
            </w:r>
          </w:p>
        </w:tc>
      </w:tr>
      <w:tr>
        <w:tc>
          <w:tcPr>
            <w:tcW w:type="dxa" w:w="1285"/>
          </w:tcPr>
          <w:p>
            <w:pPr>
              <w:spacing w:before="0" w:after="0"/>
              <w:ind w:firstLine="0"/>
              <w:jc w:val="left"/>
            </w:pPr>
            <w:r>
              <w:rPr>
                <w:rFonts w:ascii="Times New Roman" w:hAnsi="Times New Roman"/>
                <w:sz w:val="22"/>
              </w:rPr>
              <w:t>Tokeni S2E generați total comunitate</w:t>
            </w:r>
          </w:p>
        </w:tc>
        <w:tc>
          <w:tcPr>
            <w:tcW w:type="dxa" w:w="1285"/>
          </w:tcPr>
          <w:p>
            <w:pPr>
              <w:spacing w:before="0" w:after="0"/>
              <w:ind w:firstLine="0"/>
              <w:jc w:val="left"/>
            </w:pPr>
            <w:r>
              <w:rPr>
                <w:rFonts w:ascii="Times New Roman" w:hAnsi="Times New Roman"/>
                <w:sz w:val="22"/>
              </w:rPr>
              <w:t>KPI-S09</w:t>
            </w:r>
          </w:p>
        </w:tc>
        <w:tc>
          <w:tcPr>
            <w:tcW w:type="dxa" w:w="1285"/>
          </w:tcPr>
          <w:p>
            <w:pPr>
              <w:spacing w:before="0" w:after="0"/>
              <w:ind w:firstLine="0"/>
              <w:jc w:val="left"/>
            </w:pPr>
            <w:r>
              <w:rPr>
                <w:rFonts w:ascii="Times New Roman" w:hAnsi="Times New Roman"/>
                <w:sz w:val="22"/>
              </w:rPr>
              <w:t>≥1 token/part./lună</w:t>
            </w:r>
          </w:p>
        </w:tc>
        <w:tc>
          <w:tcPr>
            <w:tcW w:type="dxa" w:w="1285"/>
          </w:tcPr>
          <w:p>
            <w:pPr>
              <w:spacing w:before="0" w:after="0"/>
              <w:ind w:firstLine="0"/>
              <w:jc w:val="left"/>
            </w:pPr>
            <w:r>
              <w:rPr>
                <w:rFonts w:ascii="Times New Roman" w:hAnsi="Times New Roman"/>
                <w:sz w:val="22"/>
              </w:rPr>
              <w:t>tokeni</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Cloud – total tokeni emisi per lună</w:t>
            </w:r>
          </w:p>
        </w:tc>
      </w:tr>
      <w:tr>
        <w:tc>
          <w:tcPr>
            <w:tcW w:type="dxa" w:w="1285"/>
          </w:tcPr>
          <w:p>
            <w:pPr>
              <w:spacing w:before="0" w:after="0"/>
              <w:ind w:firstLine="0"/>
              <w:jc w:val="left"/>
            </w:pPr>
            <w:r>
              <w:rPr>
                <w:rFonts w:ascii="Times New Roman" w:hAnsi="Times New Roman"/>
                <w:sz w:val="22"/>
              </w:rPr>
              <w:t>Donații SolidarityX din tokeni S2E</w:t>
            </w:r>
          </w:p>
        </w:tc>
        <w:tc>
          <w:tcPr>
            <w:tcW w:type="dxa" w:w="1285"/>
          </w:tcPr>
          <w:p>
            <w:pPr>
              <w:spacing w:before="0" w:after="0"/>
              <w:ind w:firstLine="0"/>
              <w:jc w:val="left"/>
            </w:pPr>
            <w:r>
              <w:rPr>
                <w:rFonts w:ascii="Times New Roman" w:hAnsi="Times New Roman"/>
                <w:sz w:val="22"/>
              </w:rPr>
              <w:t>KPI-S10</w:t>
            </w:r>
          </w:p>
        </w:tc>
        <w:tc>
          <w:tcPr>
            <w:tcW w:type="dxa" w:w="1285"/>
          </w:tcPr>
          <w:p>
            <w:pPr>
              <w:spacing w:before="0" w:after="0"/>
              <w:ind w:firstLine="0"/>
              <w:jc w:val="left"/>
            </w:pPr>
            <w:r>
              <w:rPr>
                <w:rFonts w:ascii="Times New Roman" w:hAnsi="Times New Roman"/>
                <w:sz w:val="22"/>
              </w:rPr>
              <w:t>≥5% din total</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Cloud – tokeni donați / tokeni generați</w:t>
            </w:r>
          </w:p>
        </w:tc>
      </w:tr>
      <w:tr>
        <w:tc>
          <w:tcPr>
            <w:tcW w:type="dxa" w:w="1285"/>
          </w:tcPr>
          <w:p>
            <w:pPr>
              <w:spacing w:before="0" w:after="0"/>
              <w:ind w:firstLine="0"/>
              <w:jc w:val="left"/>
            </w:pPr>
            <w:r>
              <w:rPr>
                <w:rFonts w:ascii="Times New Roman" w:hAnsi="Times New Roman"/>
                <w:sz w:val="22"/>
              </w:rPr>
              <w:t>Indice sedentarism comunitar (reducere)</w:t>
            </w:r>
          </w:p>
        </w:tc>
        <w:tc>
          <w:tcPr>
            <w:tcW w:type="dxa" w:w="1285"/>
          </w:tcPr>
          <w:p>
            <w:pPr>
              <w:spacing w:before="0" w:after="0"/>
              <w:ind w:firstLine="0"/>
              <w:jc w:val="left"/>
            </w:pPr>
            <w:r>
              <w:rPr>
                <w:rFonts w:ascii="Times New Roman" w:hAnsi="Times New Roman"/>
                <w:sz w:val="22"/>
              </w:rPr>
              <w:t>KPI-S11</w:t>
            </w:r>
          </w:p>
        </w:tc>
        <w:tc>
          <w:tcPr>
            <w:tcW w:type="dxa" w:w="1285"/>
          </w:tcPr>
          <w:p>
            <w:pPr>
              <w:spacing w:before="0" w:after="0"/>
              <w:ind w:firstLine="0"/>
              <w:jc w:val="left"/>
            </w:pPr>
            <w:r>
              <w:rPr>
                <w:rFonts w:ascii="Times New Roman" w:hAnsi="Times New Roman"/>
                <w:sz w:val="22"/>
              </w:rPr>
              <w:t>–15% față de baseline</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Anchetă + date App; comparație an precedent</w:t>
            </w:r>
          </w:p>
        </w:tc>
      </w:tr>
      <w:tr>
        <w:tc>
          <w:tcPr>
            <w:tcW w:type="dxa" w:w="1285"/>
          </w:tcPr>
          <w:p>
            <w:pPr>
              <w:spacing w:before="0" w:after="0"/>
              <w:ind w:firstLine="0"/>
              <w:jc w:val="left"/>
            </w:pPr>
            <w:r>
              <w:rPr>
                <w:rFonts w:ascii="Times New Roman" w:hAnsi="Times New Roman"/>
                <w:sz w:val="22"/>
              </w:rPr>
              <w:t>Satisfacție utilizatori (NPS adaptat)</w:t>
            </w:r>
          </w:p>
        </w:tc>
        <w:tc>
          <w:tcPr>
            <w:tcW w:type="dxa" w:w="1285"/>
          </w:tcPr>
          <w:p>
            <w:pPr>
              <w:spacing w:before="0" w:after="0"/>
              <w:ind w:firstLine="0"/>
              <w:jc w:val="left"/>
            </w:pPr>
            <w:r>
              <w:rPr>
                <w:rFonts w:ascii="Times New Roman" w:hAnsi="Times New Roman"/>
                <w:sz w:val="22"/>
              </w:rPr>
              <w:t>KPI-S12</w:t>
            </w:r>
          </w:p>
        </w:tc>
        <w:tc>
          <w:tcPr>
            <w:tcW w:type="dxa" w:w="1285"/>
          </w:tcPr>
          <w:p>
            <w:pPr>
              <w:spacing w:before="0" w:after="0"/>
              <w:ind w:firstLine="0"/>
              <w:jc w:val="left"/>
            </w:pPr>
            <w:r>
              <w:rPr>
                <w:rFonts w:ascii="Times New Roman" w:hAnsi="Times New Roman"/>
                <w:sz w:val="22"/>
              </w:rPr>
              <w:t>≥4.2 / 5.0</w:t>
            </w:r>
          </w:p>
        </w:tc>
        <w:tc>
          <w:tcPr>
            <w:tcW w:type="dxa" w:w="1285"/>
          </w:tcPr>
          <w:p>
            <w:pPr>
              <w:spacing w:before="0" w:after="0"/>
              <w:ind w:firstLine="0"/>
              <w:jc w:val="left"/>
            </w:pPr>
            <w:r>
              <w:rPr>
                <w:rFonts w:ascii="Times New Roman" w:hAnsi="Times New Roman"/>
                <w:sz w:val="22"/>
              </w:rPr>
              <w:t>scor</w:t>
            </w:r>
          </w:p>
        </w:tc>
        <w:tc>
          <w:tcPr>
            <w:tcW w:type="dxa" w:w="1285"/>
          </w:tcPr>
          <w:p>
            <w:pPr>
              <w:spacing w:before="0" w:after="0"/>
              <w:ind w:firstLine="0"/>
              <w:jc w:val="left"/>
            </w:pPr>
            <w:r>
              <w:rPr>
                <w:rFonts w:ascii="Times New Roman" w:hAnsi="Times New Roman"/>
                <w:sz w:val="22"/>
              </w:rPr>
              <w:t>Semestrial</w:t>
            </w:r>
          </w:p>
        </w:tc>
        <w:tc>
          <w:tcPr>
            <w:tcW w:type="dxa" w:w="1285"/>
          </w:tcPr>
          <w:p>
            <w:pPr>
              <w:spacing w:before="0" w:after="0"/>
              <w:ind w:firstLine="0"/>
              <w:jc w:val="left"/>
            </w:pPr>
            <w:r>
              <w:rPr>
                <w:rFonts w:ascii="Times New Roman" w:hAnsi="Times New Roman"/>
                <w:sz w:val="22"/>
              </w:rPr>
              <w:t>Chestionar App + display pergolă; min. 30% răspuns</w:t>
            </w:r>
          </w:p>
        </w:tc>
      </w:tr>
      <w:tr>
        <w:tc>
          <w:tcPr>
            <w:tcW w:type="dxa" w:w="1285"/>
          </w:tcPr>
          <w:p>
            <w:pPr>
              <w:spacing w:before="0" w:after="0"/>
              <w:ind w:firstLine="0"/>
              <w:jc w:val="left"/>
            </w:pPr>
            <w:r>
              <w:rPr>
                <w:rFonts w:ascii="Times New Roman" w:hAnsi="Times New Roman"/>
                <w:sz w:val="22"/>
              </w:rPr>
              <w:t>Diversitate demografică participanți</w:t>
            </w:r>
          </w:p>
        </w:tc>
        <w:tc>
          <w:tcPr>
            <w:tcW w:type="dxa" w:w="1285"/>
          </w:tcPr>
          <w:p>
            <w:pPr>
              <w:spacing w:before="0" w:after="0"/>
              <w:ind w:firstLine="0"/>
              <w:jc w:val="left"/>
            </w:pPr>
            <w:r>
              <w:rPr>
                <w:rFonts w:ascii="Times New Roman" w:hAnsi="Times New Roman"/>
                <w:sz w:val="22"/>
              </w:rPr>
              <w:t>KPI-S13</w:t>
            </w:r>
          </w:p>
        </w:tc>
        <w:tc>
          <w:tcPr>
            <w:tcW w:type="dxa" w:w="1285"/>
          </w:tcPr>
          <w:p>
            <w:pPr>
              <w:spacing w:before="0" w:after="0"/>
              <w:ind w:firstLine="0"/>
              <w:jc w:val="left"/>
            </w:pPr>
            <w:r>
              <w:rPr>
                <w:rFonts w:ascii="Times New Roman" w:hAnsi="Times New Roman"/>
                <w:sz w:val="22"/>
              </w:rPr>
              <w:t>≥3 grupe de vârstă</w:t>
            </w:r>
          </w:p>
        </w:tc>
        <w:tc>
          <w:tcPr>
            <w:tcW w:type="dxa" w:w="1285"/>
          </w:tcPr>
          <w:p>
            <w:pPr>
              <w:spacing w:before="0" w:after="0"/>
              <w:ind w:firstLine="0"/>
              <w:jc w:val="left"/>
            </w:pPr>
            <w:r>
              <w:rPr>
                <w:rFonts w:ascii="Times New Roman" w:hAnsi="Times New Roman"/>
                <w:sz w:val="22"/>
              </w:rPr>
              <w:t>grupe</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App – distribuție vârstă utilizatori activi</w:t>
            </w:r>
          </w:p>
        </w:tc>
      </w:tr>
      <w:tr>
        <w:tc>
          <w:tcPr>
            <w:tcW w:type="dxa" w:w="1285"/>
          </w:tcPr>
          <w:p>
            <w:pPr>
              <w:spacing w:before="0" w:after="0"/>
              <w:ind w:firstLine="0"/>
              <w:jc w:val="left"/>
            </w:pPr>
            <w:r>
              <w:rPr>
                <w:rFonts w:ascii="Times New Roman" w:hAnsi="Times New Roman"/>
                <w:sz w:val="22"/>
              </w:rPr>
              <w:t>KPI TEHNICI ȘI OPERAȚIONALI</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Disponibilitate echipamente S2E</w:t>
            </w:r>
          </w:p>
        </w:tc>
        <w:tc>
          <w:tcPr>
            <w:tcW w:type="dxa" w:w="1285"/>
          </w:tcPr>
          <w:p>
            <w:pPr>
              <w:spacing w:before="0" w:after="0"/>
              <w:ind w:firstLine="0"/>
              <w:jc w:val="left"/>
            </w:pPr>
            <w:r>
              <w:rPr>
                <w:rFonts w:ascii="Times New Roman" w:hAnsi="Times New Roman"/>
                <w:sz w:val="22"/>
              </w:rPr>
              <w:t>KPI-S14</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AssetHealth – uptime / timp total × 100</w:t>
            </w:r>
          </w:p>
        </w:tc>
      </w:tr>
      <w:tr>
        <w:tc>
          <w:tcPr>
            <w:tcW w:type="dxa" w:w="1285"/>
          </w:tcPr>
          <w:p>
            <w:pPr>
              <w:spacing w:before="0" w:after="0"/>
              <w:ind w:firstLine="0"/>
              <w:jc w:val="left"/>
            </w:pPr>
            <w:r>
              <w:rPr>
                <w:rFonts w:ascii="Times New Roman" w:hAnsi="Times New Roman"/>
                <w:sz w:val="22"/>
              </w:rPr>
              <w:t>MTBF (Mean Time Between Failures)</w:t>
            </w:r>
          </w:p>
        </w:tc>
        <w:tc>
          <w:tcPr>
            <w:tcW w:type="dxa" w:w="1285"/>
          </w:tcPr>
          <w:p>
            <w:pPr>
              <w:spacing w:before="0" w:after="0"/>
              <w:ind w:firstLine="0"/>
              <w:jc w:val="left"/>
            </w:pPr>
            <w:r>
              <w:rPr>
                <w:rFonts w:ascii="Times New Roman" w:hAnsi="Times New Roman"/>
                <w:sz w:val="22"/>
              </w:rPr>
              <w:t>KPI-S15</w:t>
            </w:r>
          </w:p>
        </w:tc>
        <w:tc>
          <w:tcPr>
            <w:tcW w:type="dxa" w:w="1285"/>
          </w:tcPr>
          <w:p>
            <w:pPr>
              <w:spacing w:before="0" w:after="0"/>
              <w:ind w:firstLine="0"/>
              <w:jc w:val="left"/>
            </w:pPr>
            <w:r>
              <w:rPr>
                <w:rFonts w:ascii="Times New Roman" w:hAnsi="Times New Roman"/>
                <w:sz w:val="22"/>
              </w:rPr>
              <w:t>≥6.000 h</w:t>
            </w:r>
          </w:p>
        </w:tc>
        <w:tc>
          <w:tcPr>
            <w:tcW w:type="dxa" w:w="1285"/>
          </w:tcPr>
          <w:p>
            <w:pPr>
              <w:spacing w:before="0" w:after="0"/>
              <w:ind w:firstLine="0"/>
              <w:jc w:val="left"/>
            </w:pPr>
            <w:r>
              <w:rPr>
                <w:rFonts w:ascii="Times New Roman" w:hAnsi="Times New Roman"/>
                <w:sz w:val="22"/>
              </w:rPr>
              <w:t>ore</w:t>
            </w:r>
          </w:p>
        </w:tc>
        <w:tc>
          <w:tcPr>
            <w:tcW w:type="dxa" w:w="1285"/>
          </w:tcPr>
          <w:p>
            <w:pPr>
              <w:spacing w:before="0" w:after="0"/>
              <w:ind w:firstLine="0"/>
              <w:jc w:val="left"/>
            </w:pPr>
            <w:r>
              <w:rPr>
                <w:rFonts w:ascii="Times New Roman" w:hAnsi="Times New Roman"/>
                <w:sz w:val="22"/>
              </w:rPr>
              <w:t>Rulant</w:t>
            </w:r>
          </w:p>
        </w:tc>
        <w:tc>
          <w:tcPr>
            <w:tcW w:type="dxa" w:w="1285"/>
          </w:tcPr>
          <w:p>
            <w:pPr>
              <w:spacing w:before="0" w:after="0"/>
              <w:ind w:firstLine="0"/>
              <w:jc w:val="left"/>
            </w:pPr>
            <w:r>
              <w:rPr>
                <w:rFonts w:ascii="Times New Roman" w:hAnsi="Times New Roman"/>
                <w:sz w:val="22"/>
              </w:rPr>
              <w:t>AssetHealth – timp operare / număr defecțiuni</w:t>
            </w:r>
          </w:p>
        </w:tc>
      </w:tr>
      <w:tr>
        <w:tc>
          <w:tcPr>
            <w:tcW w:type="dxa" w:w="1285"/>
          </w:tcPr>
          <w:p>
            <w:pPr>
              <w:spacing w:before="0" w:after="0"/>
              <w:ind w:firstLine="0"/>
              <w:jc w:val="left"/>
            </w:pPr>
            <w:r>
              <w:rPr>
                <w:rFonts w:ascii="Times New Roman" w:hAnsi="Times New Roman"/>
                <w:sz w:val="22"/>
              </w:rPr>
              <w:t>Timp mediu de reparație (MTTR)</w:t>
            </w:r>
          </w:p>
        </w:tc>
        <w:tc>
          <w:tcPr>
            <w:tcW w:type="dxa" w:w="1285"/>
          </w:tcPr>
          <w:p>
            <w:pPr>
              <w:spacing w:before="0" w:after="0"/>
              <w:ind w:firstLine="0"/>
              <w:jc w:val="left"/>
            </w:pPr>
            <w:r>
              <w:rPr>
                <w:rFonts w:ascii="Times New Roman" w:hAnsi="Times New Roman"/>
                <w:sz w:val="22"/>
              </w:rPr>
              <w:t>KPI-S16</w:t>
            </w:r>
          </w:p>
        </w:tc>
        <w:tc>
          <w:tcPr>
            <w:tcW w:type="dxa" w:w="1285"/>
          </w:tcPr>
          <w:p>
            <w:pPr>
              <w:spacing w:before="0" w:after="0"/>
              <w:ind w:firstLine="0"/>
              <w:jc w:val="left"/>
            </w:pPr>
            <w:r>
              <w:rPr>
                <w:rFonts w:ascii="Times New Roman" w:hAnsi="Times New Roman"/>
                <w:sz w:val="22"/>
              </w:rPr>
              <w:t>≤48 h</w:t>
            </w:r>
          </w:p>
        </w:tc>
        <w:tc>
          <w:tcPr>
            <w:tcW w:type="dxa" w:w="1285"/>
          </w:tcPr>
          <w:p>
            <w:pPr>
              <w:spacing w:before="0" w:after="0"/>
              <w:ind w:firstLine="0"/>
              <w:jc w:val="left"/>
            </w:pPr>
            <w:r>
              <w:rPr>
                <w:rFonts w:ascii="Times New Roman" w:hAnsi="Times New Roman"/>
                <w:sz w:val="22"/>
              </w:rPr>
              <w:t>ore</w:t>
            </w:r>
          </w:p>
        </w:tc>
        <w:tc>
          <w:tcPr>
            <w:tcW w:type="dxa" w:w="1285"/>
          </w:tcPr>
          <w:p>
            <w:pPr>
              <w:spacing w:before="0" w:after="0"/>
              <w:ind w:firstLine="0"/>
              <w:jc w:val="left"/>
            </w:pPr>
            <w:r>
              <w:rPr>
                <w:rFonts w:ascii="Times New Roman" w:hAnsi="Times New Roman"/>
                <w:sz w:val="22"/>
              </w:rPr>
              <w:t>Per eveniment</w:t>
            </w:r>
          </w:p>
        </w:tc>
        <w:tc>
          <w:tcPr>
            <w:tcW w:type="dxa" w:w="1285"/>
          </w:tcPr>
          <w:p>
            <w:pPr>
              <w:spacing w:before="0" w:after="0"/>
              <w:ind w:firstLine="0"/>
              <w:jc w:val="left"/>
            </w:pPr>
            <w:r>
              <w:rPr>
                <w:rFonts w:ascii="Times New Roman" w:hAnsi="Times New Roman"/>
                <w:sz w:val="22"/>
              </w:rPr>
              <w:t>Ticket ESCO – de la raportare la repunere în funcțiune</w:t>
            </w:r>
          </w:p>
        </w:tc>
      </w:tr>
      <w:tr>
        <w:tc>
          <w:tcPr>
            <w:tcW w:type="dxa" w:w="1285"/>
          </w:tcPr>
          <w:p>
            <w:pPr>
              <w:spacing w:before="0" w:after="0"/>
              <w:ind w:firstLine="0"/>
              <w:jc w:val="left"/>
            </w:pPr>
            <w:r>
              <w:rPr>
                <w:rFonts w:ascii="Times New Roman" w:hAnsi="Times New Roman"/>
                <w:sz w:val="22"/>
              </w:rPr>
              <w:t>Acuratețe Digital Twin S2E</w:t>
            </w:r>
          </w:p>
        </w:tc>
        <w:tc>
          <w:tcPr>
            <w:tcW w:type="dxa" w:w="1285"/>
          </w:tcPr>
          <w:p>
            <w:pPr>
              <w:spacing w:before="0" w:after="0"/>
              <w:ind w:firstLine="0"/>
              <w:jc w:val="left"/>
            </w:pPr>
            <w:r>
              <w:rPr>
                <w:rFonts w:ascii="Times New Roman" w:hAnsi="Times New Roman"/>
                <w:sz w:val="22"/>
              </w:rPr>
              <w:t>KPI-S17</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Lunar</w:t>
            </w:r>
          </w:p>
        </w:tc>
        <w:tc>
          <w:tcPr>
            <w:tcW w:type="dxa" w:w="1285"/>
          </w:tcPr>
          <w:p>
            <w:pPr>
              <w:spacing w:before="0" w:after="0"/>
              <w:ind w:firstLine="0"/>
              <w:jc w:val="left"/>
            </w:pPr>
            <w:r>
              <w:rPr>
                <w:rFonts w:ascii="Times New Roman" w:hAnsi="Times New Roman"/>
                <w:sz w:val="22"/>
              </w:rPr>
              <w:t>Comparație predicție DT vs. valori reale EMS</w:t>
            </w:r>
          </w:p>
        </w:tc>
      </w:tr>
      <w:tr>
        <w:tc>
          <w:tcPr>
            <w:tcW w:type="dxa" w:w="1285"/>
          </w:tcPr>
          <w:p>
            <w:pPr>
              <w:spacing w:before="0" w:after="0"/>
              <w:ind w:firstLine="0"/>
              <w:jc w:val="left"/>
            </w:pPr>
            <w:r>
              <w:rPr>
                <w:rFonts w:ascii="Times New Roman" w:hAnsi="Times New Roman"/>
                <w:sz w:val="22"/>
              </w:rPr>
              <w:t>Latență raportare IoT → Cloud</w:t>
            </w:r>
          </w:p>
        </w:tc>
        <w:tc>
          <w:tcPr>
            <w:tcW w:type="dxa" w:w="1285"/>
          </w:tcPr>
          <w:p>
            <w:pPr>
              <w:spacing w:before="0" w:after="0"/>
              <w:ind w:firstLine="0"/>
              <w:jc w:val="left"/>
            </w:pPr>
            <w:r>
              <w:rPr>
                <w:rFonts w:ascii="Times New Roman" w:hAnsi="Times New Roman"/>
                <w:sz w:val="22"/>
              </w:rPr>
              <w:t>KPI-S18</w:t>
            </w:r>
          </w:p>
        </w:tc>
        <w:tc>
          <w:tcPr>
            <w:tcW w:type="dxa" w:w="1285"/>
          </w:tcPr>
          <w:p>
            <w:pPr>
              <w:spacing w:before="0" w:after="0"/>
              <w:ind w:firstLine="0"/>
              <w:jc w:val="left"/>
            </w:pPr>
            <w:r>
              <w:rPr>
                <w:rFonts w:ascii="Times New Roman" w:hAnsi="Times New Roman"/>
                <w:sz w:val="22"/>
              </w:rPr>
              <w:t>≤30 s</w:t>
            </w:r>
          </w:p>
        </w:tc>
        <w:tc>
          <w:tcPr>
            <w:tcW w:type="dxa" w:w="1285"/>
          </w:tcPr>
          <w:p>
            <w:pPr>
              <w:spacing w:before="0" w:after="0"/>
              <w:ind w:firstLine="0"/>
              <w:jc w:val="left"/>
            </w:pPr>
            <w:r>
              <w:rPr>
                <w:rFonts w:ascii="Times New Roman" w:hAnsi="Times New Roman"/>
                <w:sz w:val="22"/>
              </w:rPr>
              <w:t>secunde</w:t>
            </w:r>
          </w:p>
        </w:tc>
        <w:tc>
          <w:tcPr>
            <w:tcW w:type="dxa" w:w="1285"/>
          </w:tcPr>
          <w:p>
            <w:pPr>
              <w:spacing w:before="0" w:after="0"/>
              <w:ind w:firstLine="0"/>
              <w:jc w:val="left"/>
            </w:pPr>
            <w:r>
              <w:rPr>
                <w:rFonts w:ascii="Times New Roman" w:hAnsi="Times New Roman"/>
                <w:sz w:val="22"/>
              </w:rPr>
              <w:t>Continuu</w:t>
            </w:r>
          </w:p>
        </w:tc>
        <w:tc>
          <w:tcPr>
            <w:tcW w:type="dxa" w:w="1285"/>
          </w:tcPr>
          <w:p>
            <w:pPr>
              <w:spacing w:before="0" w:after="0"/>
              <w:ind w:firstLine="0"/>
              <w:jc w:val="left"/>
            </w:pPr>
            <w:r>
              <w:rPr>
                <w:rFonts w:ascii="Times New Roman" w:hAnsi="Times New Roman"/>
                <w:sz w:val="22"/>
              </w:rPr>
              <w:t>EMS – timestamp senzor vs. timestamp Cloud</w:t>
            </w:r>
          </w:p>
        </w:tc>
      </w:tr>
      <w:tr>
        <w:tc>
          <w:tcPr>
            <w:tcW w:type="dxa" w:w="1285"/>
          </w:tcPr>
          <w:p>
            <w:pPr>
              <w:spacing w:before="0" w:after="0"/>
              <w:ind w:firstLine="0"/>
              <w:jc w:val="left"/>
            </w:pPr>
            <w:r>
              <w:rPr>
                <w:rFonts w:ascii="Times New Roman" w:hAnsi="Times New Roman"/>
                <w:sz w:val="22"/>
              </w:rPr>
              <w:t>Erori de măsurare energie</w:t>
            </w:r>
          </w:p>
        </w:tc>
        <w:tc>
          <w:tcPr>
            <w:tcW w:type="dxa" w:w="1285"/>
          </w:tcPr>
          <w:p>
            <w:pPr>
              <w:spacing w:before="0" w:after="0"/>
              <w:ind w:firstLine="0"/>
              <w:jc w:val="left"/>
            </w:pPr>
            <w:r>
              <w:rPr>
                <w:rFonts w:ascii="Times New Roman" w:hAnsi="Times New Roman"/>
                <w:sz w:val="22"/>
              </w:rPr>
              <w:t>KPI-S19</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Trimestrial</w:t>
            </w:r>
          </w:p>
        </w:tc>
        <w:tc>
          <w:tcPr>
            <w:tcW w:type="dxa" w:w="1285"/>
          </w:tcPr>
          <w:p>
            <w:pPr>
              <w:spacing w:before="0" w:after="0"/>
              <w:ind w:firstLine="0"/>
              <w:jc w:val="left"/>
            </w:pPr>
            <w:r>
              <w:rPr>
                <w:rFonts w:ascii="Times New Roman" w:hAnsi="Times New Roman"/>
                <w:sz w:val="22"/>
              </w:rPr>
              <w:t>Comparație smart meter certificat vs. EMS</w:t>
            </w:r>
          </w:p>
        </w:tc>
      </w:tr>
      <w:tr>
        <w:tc>
          <w:tcPr>
            <w:tcW w:type="dxa" w:w="1285"/>
          </w:tcPr>
          <w:p>
            <w:pPr>
              <w:spacing w:before="0" w:after="0"/>
              <w:ind w:firstLine="0"/>
              <w:jc w:val="left"/>
            </w:pPr>
            <w:r>
              <w:rPr>
                <w:rFonts w:ascii="Times New Roman" w:hAnsi="Times New Roman"/>
                <w:sz w:val="22"/>
              </w:rPr>
              <w:t>KPI ECONOMICI ȘI DE MEDIU</w:t>
            </w:r>
          </w:p>
        </w:tc>
        <w:tc>
          <w:tcPr>
            <w:tcW w:type="dxa" w:w="1285"/>
          </w:tcPr>
          <w:p/>
        </w:tc>
        <w:tc>
          <w:tcPr>
            <w:tcW w:type="dxa" w:w="1285"/>
          </w:tcPr>
          <w:p/>
        </w:tc>
        <w:tc>
          <w:tcPr>
            <w:tcW w:type="dxa" w:w="1285"/>
          </w:tcPr>
          <w:p/>
        </w:tc>
        <w:tc>
          <w:tcPr>
            <w:tcW w:type="dxa" w:w="1285"/>
          </w:tcPr>
          <w:p/>
        </w:tc>
        <w:tc>
          <w:tcPr>
            <w:tcW w:type="dxa" w:w="1285"/>
          </w:tcPr>
          <w:p/>
        </w:tc>
      </w:tr>
      <w:tr>
        <w:tc>
          <w:tcPr>
            <w:tcW w:type="dxa" w:w="1285"/>
          </w:tcPr>
          <w:p>
            <w:pPr>
              <w:spacing w:before="0" w:after="0"/>
              <w:ind w:firstLine="0"/>
              <w:jc w:val="left"/>
            </w:pPr>
            <w:r>
              <w:rPr>
                <w:rFonts w:ascii="Times New Roman" w:hAnsi="Times New Roman"/>
                <w:sz w:val="22"/>
              </w:rPr>
              <w:t>Cost CAPEX per kWh produs pe durata vieții</w:t>
            </w:r>
          </w:p>
        </w:tc>
        <w:tc>
          <w:tcPr>
            <w:tcW w:type="dxa" w:w="1285"/>
          </w:tcPr>
          <w:p>
            <w:pPr>
              <w:spacing w:before="0" w:after="0"/>
              <w:ind w:firstLine="0"/>
              <w:jc w:val="left"/>
            </w:pPr>
            <w:r>
              <w:rPr>
                <w:rFonts w:ascii="Times New Roman" w:hAnsi="Times New Roman"/>
                <w:sz w:val="22"/>
              </w:rPr>
              <w:t>KPI-S20</w:t>
            </w:r>
          </w:p>
        </w:tc>
        <w:tc>
          <w:tcPr>
            <w:tcW w:type="dxa" w:w="1285"/>
          </w:tcPr>
          <w:p>
            <w:pPr>
              <w:spacing w:before="0" w:after="0"/>
              <w:ind w:firstLine="0"/>
              <w:jc w:val="left"/>
            </w:pPr>
            <w:r>
              <w:rPr>
                <w:rFonts w:ascii="Times New Roman" w:hAnsi="Times New Roman"/>
                <w:sz w:val="22"/>
              </w:rPr>
              <w:t>≤0.15 EUR/kWh</w:t>
            </w:r>
          </w:p>
        </w:tc>
        <w:tc>
          <w:tcPr>
            <w:tcW w:type="dxa" w:w="1285"/>
          </w:tcPr>
          <w:p>
            <w:pPr>
              <w:spacing w:before="0" w:after="0"/>
              <w:ind w:firstLine="0"/>
              <w:jc w:val="left"/>
            </w:pPr>
            <w:r>
              <w:rPr>
                <w:rFonts w:ascii="Times New Roman" w:hAnsi="Times New Roman"/>
                <w:sz w:val="22"/>
              </w:rPr>
              <w:t>EUR/kWh</w:t>
            </w:r>
          </w:p>
        </w:tc>
        <w:tc>
          <w:tcPr>
            <w:tcW w:type="dxa" w:w="1285"/>
          </w:tcPr>
          <w:p>
            <w:pPr>
              <w:spacing w:before="0" w:after="0"/>
              <w:ind w:firstLine="0"/>
              <w:jc w:val="left"/>
            </w:pPr>
            <w:r>
              <w:rPr>
                <w:rFonts w:ascii="Times New Roman" w:hAnsi="Times New Roman"/>
                <w:sz w:val="22"/>
              </w:rPr>
              <w:t>Calculat la 15 ani</w:t>
            </w:r>
          </w:p>
        </w:tc>
        <w:tc>
          <w:tcPr>
            <w:tcW w:type="dxa" w:w="1285"/>
          </w:tcPr>
          <w:p>
            <w:pPr>
              <w:spacing w:before="0" w:after="0"/>
              <w:ind w:firstLine="0"/>
              <w:jc w:val="left"/>
            </w:pPr>
            <w:r>
              <w:rPr>
                <w:rFonts w:ascii="Times New Roman" w:hAnsi="Times New Roman"/>
                <w:sz w:val="22"/>
              </w:rPr>
              <w:t>Investiție totală / (E_an × 15 ani)</w:t>
            </w:r>
          </w:p>
        </w:tc>
      </w:tr>
      <w:tr>
        <w:tc>
          <w:tcPr>
            <w:tcW w:type="dxa" w:w="1285"/>
          </w:tcPr>
          <w:p>
            <w:pPr>
              <w:spacing w:before="0" w:after="0"/>
              <w:ind w:firstLine="0"/>
              <w:jc w:val="left"/>
            </w:pPr>
            <w:r>
              <w:rPr>
                <w:rFonts w:ascii="Times New Roman" w:hAnsi="Times New Roman"/>
                <w:sz w:val="22"/>
              </w:rPr>
              <w:t>Payback investiție (fără grant)</w:t>
            </w:r>
          </w:p>
        </w:tc>
        <w:tc>
          <w:tcPr>
            <w:tcW w:type="dxa" w:w="1285"/>
          </w:tcPr>
          <w:p>
            <w:pPr>
              <w:spacing w:before="0" w:after="0"/>
              <w:ind w:firstLine="0"/>
              <w:jc w:val="left"/>
            </w:pPr>
            <w:r>
              <w:rPr>
                <w:rFonts w:ascii="Times New Roman" w:hAnsi="Times New Roman"/>
                <w:sz w:val="22"/>
              </w:rPr>
              <w:t>KPI-S21</w:t>
            </w:r>
          </w:p>
        </w:tc>
        <w:tc>
          <w:tcPr>
            <w:tcW w:type="dxa" w:w="1285"/>
          </w:tcPr>
          <w:p>
            <w:pPr>
              <w:spacing w:before="0" w:after="0"/>
              <w:ind w:firstLine="0"/>
              <w:jc w:val="left"/>
            </w:pPr>
            <w:r>
              <w:rPr>
                <w:rFonts w:ascii="Times New Roman" w:hAnsi="Times New Roman"/>
                <w:sz w:val="22"/>
              </w:rPr>
              <w:t>≤12 ani</w:t>
            </w:r>
          </w:p>
        </w:tc>
        <w:tc>
          <w:tcPr>
            <w:tcW w:type="dxa" w:w="1285"/>
          </w:tcPr>
          <w:p>
            <w:pPr>
              <w:spacing w:before="0" w:after="0"/>
              <w:ind w:firstLine="0"/>
              <w:jc w:val="left"/>
            </w:pPr>
            <w:r>
              <w:rPr>
                <w:rFonts w:ascii="Times New Roman" w:hAnsi="Times New Roman"/>
                <w:sz w:val="22"/>
              </w:rPr>
              <w:t>ani</w:t>
            </w:r>
          </w:p>
        </w:tc>
        <w:tc>
          <w:tcPr>
            <w:tcW w:type="dxa" w:w="1285"/>
          </w:tcPr>
          <w:p>
            <w:pPr>
              <w:spacing w:before="0" w:after="0"/>
              <w:ind w:firstLine="0"/>
              <w:jc w:val="left"/>
            </w:pPr>
            <w:r>
              <w:rPr>
                <w:rFonts w:ascii="Times New Roman" w:hAnsi="Times New Roman"/>
                <w:sz w:val="22"/>
              </w:rPr>
              <w:t>Calculat anual</w:t>
            </w:r>
          </w:p>
        </w:tc>
        <w:tc>
          <w:tcPr>
            <w:tcW w:type="dxa" w:w="1285"/>
          </w:tcPr>
          <w:p>
            <w:pPr>
              <w:spacing w:before="0" w:after="0"/>
              <w:ind w:firstLine="0"/>
              <w:jc w:val="left"/>
            </w:pPr>
            <w:r>
              <w:rPr>
                <w:rFonts w:ascii="Times New Roman" w:hAnsi="Times New Roman"/>
                <w:sz w:val="22"/>
              </w:rPr>
              <w:t>Incluzând OPEX, venituri tokeni, economii energie</w:t>
            </w:r>
          </w:p>
        </w:tc>
      </w:tr>
      <w:tr>
        <w:tc>
          <w:tcPr>
            <w:tcW w:type="dxa" w:w="1285"/>
          </w:tcPr>
          <w:p>
            <w:pPr>
              <w:spacing w:before="0" w:after="0"/>
              <w:ind w:firstLine="0"/>
              <w:jc w:val="left"/>
            </w:pPr>
            <w:r>
              <w:rPr>
                <w:rFonts w:ascii="Times New Roman" w:hAnsi="Times New Roman"/>
                <w:sz w:val="22"/>
              </w:rPr>
              <w:t>Payback investiție (cu grant 50%)</w:t>
            </w:r>
          </w:p>
        </w:tc>
        <w:tc>
          <w:tcPr>
            <w:tcW w:type="dxa" w:w="1285"/>
          </w:tcPr>
          <w:p>
            <w:pPr>
              <w:spacing w:before="0" w:after="0"/>
              <w:ind w:firstLine="0"/>
              <w:jc w:val="left"/>
            </w:pPr>
            <w:r>
              <w:rPr>
                <w:rFonts w:ascii="Times New Roman" w:hAnsi="Times New Roman"/>
                <w:sz w:val="22"/>
              </w:rPr>
              <w:t>KPI-S22</w:t>
            </w:r>
          </w:p>
        </w:tc>
        <w:tc>
          <w:tcPr>
            <w:tcW w:type="dxa" w:w="1285"/>
          </w:tcPr>
          <w:p>
            <w:pPr>
              <w:spacing w:before="0" w:after="0"/>
              <w:ind w:firstLine="0"/>
              <w:jc w:val="left"/>
            </w:pPr>
            <w:r>
              <w:rPr>
                <w:rFonts w:ascii="Times New Roman" w:hAnsi="Times New Roman"/>
                <w:sz w:val="22"/>
              </w:rPr>
              <w:t>≤6 ani</w:t>
            </w:r>
          </w:p>
        </w:tc>
        <w:tc>
          <w:tcPr>
            <w:tcW w:type="dxa" w:w="1285"/>
          </w:tcPr>
          <w:p>
            <w:pPr>
              <w:spacing w:before="0" w:after="0"/>
              <w:ind w:firstLine="0"/>
              <w:jc w:val="left"/>
            </w:pPr>
            <w:r>
              <w:rPr>
                <w:rFonts w:ascii="Times New Roman" w:hAnsi="Times New Roman"/>
                <w:sz w:val="22"/>
              </w:rPr>
              <w:t>ani</w:t>
            </w:r>
          </w:p>
        </w:tc>
        <w:tc>
          <w:tcPr>
            <w:tcW w:type="dxa" w:w="1285"/>
          </w:tcPr>
          <w:p>
            <w:pPr>
              <w:spacing w:before="0" w:after="0"/>
              <w:ind w:firstLine="0"/>
              <w:jc w:val="left"/>
            </w:pPr>
            <w:r>
              <w:rPr>
                <w:rFonts w:ascii="Times New Roman" w:hAnsi="Times New Roman"/>
                <w:sz w:val="22"/>
              </w:rPr>
              <w:t>Calculat</w:t>
            </w:r>
          </w:p>
        </w:tc>
        <w:tc>
          <w:tcPr>
            <w:tcW w:type="dxa" w:w="1285"/>
          </w:tcPr>
          <w:p>
            <w:pPr>
              <w:spacing w:before="0" w:after="0"/>
              <w:ind w:firstLine="0"/>
              <w:jc w:val="left"/>
            </w:pPr>
            <w:r>
              <w:rPr>
                <w:rFonts w:ascii="Times New Roman" w:hAnsi="Times New Roman"/>
                <w:sz w:val="22"/>
              </w:rPr>
              <w:t>Cu finanțare europeană AFM/PNRR</w:t>
            </w:r>
          </w:p>
        </w:tc>
      </w:tr>
      <w:tr>
        <w:tc>
          <w:tcPr>
            <w:tcW w:type="dxa" w:w="1285"/>
          </w:tcPr>
          <w:p>
            <w:pPr>
              <w:spacing w:before="0" w:after="0"/>
              <w:ind w:firstLine="0"/>
              <w:jc w:val="left"/>
            </w:pPr>
            <w:r>
              <w:rPr>
                <w:rFonts w:ascii="Times New Roman" w:hAnsi="Times New Roman"/>
                <w:sz w:val="22"/>
              </w:rPr>
              <w:t>CO₂ captat – vegetație pergolă</w:t>
            </w:r>
          </w:p>
        </w:tc>
        <w:tc>
          <w:tcPr>
            <w:tcW w:type="dxa" w:w="1285"/>
          </w:tcPr>
          <w:p>
            <w:pPr>
              <w:spacing w:before="0" w:after="0"/>
              <w:ind w:firstLine="0"/>
              <w:jc w:val="left"/>
            </w:pPr>
            <w:r>
              <w:rPr>
                <w:rFonts w:ascii="Times New Roman" w:hAnsi="Times New Roman"/>
                <w:sz w:val="22"/>
              </w:rPr>
              <w:t>KPI-S23</w:t>
            </w:r>
          </w:p>
        </w:tc>
        <w:tc>
          <w:tcPr>
            <w:tcW w:type="dxa" w:w="1285"/>
          </w:tcPr>
          <w:p>
            <w:pPr>
              <w:spacing w:before="0" w:after="0"/>
              <w:ind w:firstLine="0"/>
              <w:jc w:val="left"/>
            </w:pPr>
            <w:r>
              <w:rPr>
                <w:rFonts w:ascii="Times New Roman" w:hAnsi="Times New Roman"/>
                <w:sz w:val="22"/>
              </w:rPr>
              <w:t>≥2 kg CO₂/m²/an</w:t>
            </w:r>
          </w:p>
        </w:tc>
        <w:tc>
          <w:tcPr>
            <w:tcW w:type="dxa" w:w="1285"/>
          </w:tcPr>
          <w:p>
            <w:pPr>
              <w:spacing w:before="0" w:after="0"/>
              <w:ind w:firstLine="0"/>
              <w:jc w:val="left"/>
            </w:pPr>
            <w:r>
              <w:rPr>
                <w:rFonts w:ascii="Times New Roman" w:hAnsi="Times New Roman"/>
                <w:sz w:val="22"/>
              </w:rPr>
              <w:t>kg/m²/an</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Calculat din suprafață vegetație și tip plante</w:t>
            </w:r>
          </w:p>
        </w:tc>
      </w:tr>
      <w:tr>
        <w:tc>
          <w:tcPr>
            <w:tcW w:type="dxa" w:w="1285"/>
          </w:tcPr>
          <w:p>
            <w:pPr>
              <w:spacing w:before="0" w:after="0"/>
              <w:ind w:firstLine="0"/>
              <w:jc w:val="left"/>
            </w:pPr>
            <w:r>
              <w:rPr>
                <w:rFonts w:ascii="Times New Roman" w:hAnsi="Times New Roman"/>
                <w:sz w:val="22"/>
              </w:rPr>
              <w:t>Emisii evitate – electricitate produsă</w:t>
            </w:r>
          </w:p>
        </w:tc>
        <w:tc>
          <w:tcPr>
            <w:tcW w:type="dxa" w:w="1285"/>
          </w:tcPr>
          <w:p>
            <w:pPr>
              <w:spacing w:before="0" w:after="0"/>
              <w:ind w:firstLine="0"/>
              <w:jc w:val="left"/>
            </w:pPr>
            <w:r>
              <w:rPr>
                <w:rFonts w:ascii="Times New Roman" w:hAnsi="Times New Roman"/>
                <w:sz w:val="22"/>
              </w:rPr>
              <w:t>KPI-S24</w:t>
            </w:r>
          </w:p>
        </w:tc>
        <w:tc>
          <w:tcPr>
            <w:tcW w:type="dxa" w:w="1285"/>
          </w:tcPr>
          <w:p>
            <w:pPr>
              <w:spacing w:before="0" w:after="0"/>
              <w:ind w:firstLine="0"/>
              <w:jc w:val="left"/>
            </w:pPr>
            <w:r>
              <w:rPr>
                <w:rFonts w:ascii="Times New Roman" w:hAnsi="Times New Roman"/>
                <w:sz w:val="22"/>
              </w:rPr>
              <w:t>≥0.15 kgCO₂/kWh</w:t>
            </w:r>
          </w:p>
        </w:tc>
        <w:tc>
          <w:tcPr>
            <w:tcW w:type="dxa" w:w="1285"/>
          </w:tcPr>
          <w:p>
            <w:pPr>
              <w:spacing w:before="0" w:after="0"/>
              <w:ind w:firstLine="0"/>
              <w:jc w:val="left"/>
            </w:pPr>
            <w:r>
              <w:rPr>
                <w:rFonts w:ascii="Times New Roman" w:hAnsi="Times New Roman"/>
                <w:sz w:val="22"/>
              </w:rPr>
              <w:t>kgCO₂/kWh</w:t>
            </w:r>
          </w:p>
        </w:tc>
        <w:tc>
          <w:tcPr>
            <w:tcW w:type="dxa" w:w="1285"/>
          </w:tcPr>
          <w:p>
            <w:pPr>
              <w:spacing w:before="0" w:after="0"/>
              <w:ind w:firstLine="0"/>
              <w:jc w:val="left"/>
            </w:pPr>
            <w:r>
              <w:rPr>
                <w:rFonts w:ascii="Times New Roman" w:hAnsi="Times New Roman"/>
                <w:sz w:val="22"/>
              </w:rPr>
              <w:t>Anual</w:t>
            </w:r>
          </w:p>
        </w:tc>
        <w:tc>
          <w:tcPr>
            <w:tcW w:type="dxa" w:w="1285"/>
          </w:tcPr>
          <w:p>
            <w:pPr>
              <w:spacing w:before="0" w:after="0"/>
              <w:ind w:firstLine="0"/>
              <w:jc w:val="left"/>
            </w:pPr>
            <w:r>
              <w:rPr>
                <w:rFonts w:ascii="Times New Roman" w:hAnsi="Times New Roman"/>
                <w:sz w:val="22"/>
              </w:rPr>
              <w:t>Factor emisii rețea RO 2025; MtCO₂e/an per sistem</w:t>
            </w:r>
          </w:p>
        </w:tc>
      </w:tr>
      <w:tr>
        <w:tc>
          <w:tcPr>
            <w:tcW w:type="dxa" w:w="1285"/>
          </w:tcPr>
          <w:p>
            <w:pPr>
              <w:spacing w:before="0" w:after="0"/>
              <w:ind w:firstLine="0"/>
              <w:jc w:val="left"/>
            </w:pPr>
            <w:r>
              <w:rPr>
                <w:rFonts w:ascii="Times New Roman" w:hAnsi="Times New Roman"/>
                <w:sz w:val="22"/>
              </w:rPr>
              <w:t>Circularitate materiale echipamente</w:t>
            </w:r>
          </w:p>
        </w:tc>
        <w:tc>
          <w:tcPr>
            <w:tcW w:type="dxa" w:w="1285"/>
          </w:tcPr>
          <w:p>
            <w:pPr>
              <w:spacing w:before="0" w:after="0"/>
              <w:ind w:firstLine="0"/>
              <w:jc w:val="left"/>
            </w:pPr>
            <w:r>
              <w:rPr>
                <w:rFonts w:ascii="Times New Roman" w:hAnsi="Times New Roman"/>
                <w:sz w:val="22"/>
              </w:rPr>
              <w:t>KPI-S25</w:t>
            </w:r>
          </w:p>
        </w:tc>
        <w:tc>
          <w:tcPr>
            <w:tcW w:type="dxa" w:w="1285"/>
          </w:tcPr>
          <w:p>
            <w:pPr>
              <w:spacing w:before="0" w:after="0"/>
              <w:ind w:firstLine="0"/>
              <w:jc w:val="left"/>
            </w:pPr>
            <w:r>
              <w:rPr>
                <w:rFonts w:ascii="Times New Roman" w:hAnsi="Times New Roman"/>
                <w:sz w:val="22"/>
              </w:rPr>
              <w:t>≥80% materiale reciclabile</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La achiziție</w:t>
            </w:r>
          </w:p>
        </w:tc>
        <w:tc>
          <w:tcPr>
            <w:tcW w:type="dxa" w:w="1285"/>
          </w:tcPr>
          <w:p>
            <w:pPr>
              <w:spacing w:before="0" w:after="0"/>
              <w:ind w:firstLine="0"/>
              <w:jc w:val="left"/>
            </w:pPr>
            <w:r>
              <w:rPr>
                <w:rFonts w:ascii="Times New Roman" w:hAnsi="Times New Roman"/>
                <w:sz w:val="22"/>
              </w:rPr>
              <w:t>Pașaport materiale per echipament; audit End-of-Life</w:t>
            </w:r>
          </w:p>
        </w:tc>
      </w:tr>
    </w:tbl>
    <w:p>
      <w:pPr>
        <w:ind w:firstLine="0"/>
      </w:pPr>
    </w:p>
    <w:p>
      <w:pPr>
        <w:ind w:firstLine="0"/>
      </w:pPr>
    </w:p>
    <w:p>
      <w:pPr>
        <w:pStyle w:val="SubHeading"/>
        <w:keepNext/>
      </w:pPr>
      <w:r>
        <w:t>5.2 Indicatorii critici și metodologia de calcul</w:t>
      </w:r>
    </w:p>
    <w:p>
      <w:pPr>
        <w:ind w:firstLine="0"/>
      </w:pPr>
    </w:p>
    <w:p>
      <w:pPr>
        <w:ind w:firstLine="0"/>
      </w:pPr>
    </w:p>
    <w:p>
      <w:pPr>
        <w:pStyle w:val="SubHeading"/>
        <w:keepNext/>
      </w:pPr>
      <w:r>
        <w:t>Kpi-s01 — producție electrică s2e per capita</w:t>
      </w:r>
    </w:p>
    <w:p>
      <w:pPr>
        <w:ind w:firstLine="0"/>
      </w:pPr>
    </w:p>
    <w:p>
      <w:pPr/>
      <w:r>
        <w:t>Indicatorul fundamental al eficacității energetice a sistemului. Calculul: E_S2E/cap = Σ(E_echipament_i) / N_utilizatori_activi, măsurat de contoarele individuale per echipament agregate pe utilizator prin card NFC/App. Valoarea target ≥2 kWh/cap/an se justifică pe baza profilului utilizator mediu din Tabelul 4 (150 sesiuni × 13 Wh/sesiune ≈ 1.95 kWh/cap/an pentru utilizator moderat). Sub pragul de 1 kWh/cap/an, este necesară revizuirea strategiei de engagement și gamificare.</w:t>
      </w:r>
    </w:p>
    <w:p>
      <w:pPr>
        <w:ind w:firstLine="0"/>
      </w:pPr>
    </w:p>
    <w:p>
      <w:pPr>
        <w:pStyle w:val="SubHeading"/>
        <w:keepNext/>
      </w:pPr>
      <w:r>
        <w:t>Kpi-s07 — rata de participare comunitară</w:t>
      </w:r>
    </w:p>
    <w:p>
      <w:pPr>
        <w:ind w:firstLine="0"/>
      </w:pPr>
    </w:p>
    <w:p>
      <w:pPr/>
      <w:r>
        <w:t>Indicatorul central al impactului social. Se calculează ca: r_part = (N_utilizatori_cu_sesiune_confirmată_lunar / N_total_membri) × 100%. Un utilizator „confirmat" înseamnă minim o sesiune NFC/App autentificată de minimum 10 minute în luna respectivă. Valoarea de bord (dashboard) afișată pe pergolă în timp real motivează competiția sănătoasă între luni/sezoane. Target progressiv: ≥15% (an 1), ≥25% (an 2), ≥40% (an 3+) odată cu maturizarea ecosistemului de gamificare.</w:t>
      </w:r>
    </w:p>
    <w:p>
      <w:pPr>
        <w:ind w:firstLine="0"/>
      </w:pPr>
    </w:p>
    <w:p>
      <w:pPr>
        <w:pStyle w:val="SubHeading"/>
        <w:keepNext/>
      </w:pPr>
      <w:r>
        <w:t>Kpi-s14 — disponibilitate echipamente</w:t>
      </w:r>
    </w:p>
    <w:p>
      <w:pPr>
        <w:ind w:firstLine="0"/>
      </w:pPr>
    </w:p>
    <w:p>
      <w:pPr/>
      <w:r>
        <w:t>Disponibilitatea D = (T_total – T_defect – T_mentenanță_planificată) / T_total × 100%, calculată continuu prin AssetHealth pe baza senzorilor de vibrații (dezechilibre rulmenți), curent consumat (anomalii electrice) și sesiuni înregistrate vs. senzori de prezență. Pragul critic ≤90% declanșează ticket ESCO automat; sub 80%, sistemul de gamificare generează notificare comunitară explicativă.</w:t>
      </w:r>
    </w:p>
    <w:p>
      <w:pPr>
        <w:ind w:firstLine="0"/>
      </w:pPr>
    </w:p>
    <w:p>
      <w:pPr>
        <w:pStyle w:val="ChapterHeading"/>
        <w:keepNext/>
      </w:pPr>
      <w:r>
        <w:t>6. Integrarea în Infrastructura Comunitară — Arhitectura Fluxurilor</w:t>
      </w:r>
    </w:p>
    <w:p>
      <w:pPr>
        <w:ind w:firstLine="0"/>
      </w:pPr>
    </w:p>
    <w:p>
      <w:pPr>
        <w:pStyle w:val="SubHeading"/>
        <w:keepNext/>
      </w:pPr>
      <w:r>
        <w:t>6.1 Interfețele cu exergy metasystem</w:t>
      </w:r>
    </w:p>
    <w:p>
      <w:pPr>
        <w:ind w:firstLine="0"/>
      </w:pPr>
    </w:p>
    <w:p>
      <w:pPr/>
      <w:r>
        <w:t>Sistemul EB-S2E nu funcționează ca o insulă energetică autonomă, ci ca un nod integrat în arhitectura Exergy Metasystem, cu interfețe multiple: energetice, digitale, financiare (tokenizare), sociale (gamificare, solidaritate) și ecologice (carbon). Tabelul 6 prezintă inventarul complet al fluxurilor de interfață:</w:t>
      </w:r>
    </w:p>
    <w:p>
      <w:pPr>
        <w:ind w:firstLine="0"/>
      </w:pPr>
    </w:p>
    <w:p>
      <w:pPr>
        <w:pStyle w:val="TableCaption"/>
      </w:pPr>
      <w:r>
        <w:t>Tabel 6. Inventarul fluxurilor de interfață ale EB-S2E cu ecosistemul Exergy Metasystem. Protocoalele de comunicare respectă standardele OPC-UA, MQTT v5.0 și MODBUS TCP pentru interoperabilitate cu platformele de management energetic EMS (IEC 61968/61970 CIM). Sursă: elaborare proprie pe baza Model Spec S2E V2 + Model Spec DigitAll V4, EnEx Institute 2025.</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Flux / Interfață</w:t>
            </w:r>
          </w:p>
        </w:tc>
        <w:tc>
          <w:tcPr>
            <w:tcW w:type="dxa" w:w="1542"/>
          </w:tcPr>
          <w:p>
            <w:pPr>
              <w:spacing w:before="0" w:after="0"/>
              <w:ind w:firstLine="0"/>
              <w:jc w:val="left"/>
            </w:pPr>
            <w:r>
              <w:rPr>
                <w:rFonts w:ascii="Times New Roman" w:hAnsi="Times New Roman"/>
                <w:b/>
                <w:sz w:val="22"/>
              </w:rPr>
              <w:t>De la</w:t>
            </w:r>
          </w:p>
        </w:tc>
        <w:tc>
          <w:tcPr>
            <w:tcW w:type="dxa" w:w="1542"/>
          </w:tcPr>
          <w:p>
            <w:pPr>
              <w:spacing w:before="0" w:after="0"/>
              <w:ind w:firstLine="0"/>
              <w:jc w:val="left"/>
            </w:pPr>
            <w:r>
              <w:rPr>
                <w:rFonts w:ascii="Times New Roman" w:hAnsi="Times New Roman"/>
                <w:b/>
                <w:sz w:val="22"/>
              </w:rPr>
              <w:t>Către</w:t>
            </w:r>
          </w:p>
        </w:tc>
        <w:tc>
          <w:tcPr>
            <w:tcW w:type="dxa" w:w="1542"/>
          </w:tcPr>
          <w:p>
            <w:pPr>
              <w:spacing w:before="0" w:after="0"/>
              <w:ind w:firstLine="0"/>
              <w:jc w:val="left"/>
            </w:pPr>
            <w:r>
              <w:rPr>
                <w:rFonts w:ascii="Times New Roman" w:hAnsi="Times New Roman"/>
                <w:b/>
                <w:sz w:val="22"/>
              </w:rPr>
              <w:t>Protocol / Standard</w:t>
            </w:r>
          </w:p>
        </w:tc>
        <w:tc>
          <w:tcPr>
            <w:tcW w:type="dxa" w:w="1542"/>
          </w:tcPr>
          <w:p>
            <w:pPr>
              <w:spacing w:before="0" w:after="0"/>
              <w:ind w:firstLine="0"/>
              <w:jc w:val="left"/>
            </w:pPr>
            <w:r>
              <w:rPr>
                <w:rFonts w:ascii="Times New Roman" w:hAnsi="Times New Roman"/>
                <w:b/>
                <w:sz w:val="22"/>
              </w:rPr>
              <w:t>Descriere și Funcție</w:t>
            </w:r>
          </w:p>
        </w:tc>
      </w:tr>
      <w:tr>
        <w:tc>
          <w:tcPr>
            <w:tcW w:type="dxa" w:w="1542"/>
          </w:tcPr>
          <w:p>
            <w:pPr>
              <w:spacing w:before="0" w:after="0"/>
              <w:ind w:firstLine="0"/>
              <w:jc w:val="left"/>
            </w:pPr>
            <w:r>
              <w:rPr>
                <w:rFonts w:ascii="Times New Roman" w:hAnsi="Times New Roman"/>
                <w:sz w:val="22"/>
              </w:rPr>
              <w:t>Electricitate DC (12–48V)</w:t>
            </w:r>
          </w:p>
        </w:tc>
        <w:tc>
          <w:tcPr>
            <w:tcW w:type="dxa" w:w="1542"/>
          </w:tcPr>
          <w:p>
            <w:pPr>
              <w:spacing w:before="0" w:after="0"/>
              <w:ind w:firstLine="0"/>
              <w:jc w:val="left"/>
            </w:pPr>
            <w:r>
              <w:rPr>
                <w:rFonts w:ascii="Times New Roman" w:hAnsi="Times New Roman"/>
                <w:sz w:val="22"/>
              </w:rPr>
              <w:t>Generatoare EM/Piezo</w:t>
            </w:r>
          </w:p>
        </w:tc>
        <w:tc>
          <w:tcPr>
            <w:tcW w:type="dxa" w:w="1542"/>
          </w:tcPr>
          <w:p>
            <w:pPr>
              <w:spacing w:before="0" w:after="0"/>
              <w:ind w:firstLine="0"/>
              <w:jc w:val="left"/>
            </w:pPr>
            <w:r>
              <w:rPr>
                <w:rFonts w:ascii="Times New Roman" w:hAnsi="Times New Roman"/>
                <w:sz w:val="22"/>
              </w:rPr>
              <w:t>Busbar DC Box adiacent</w:t>
            </w:r>
          </w:p>
        </w:tc>
        <w:tc>
          <w:tcPr>
            <w:tcW w:type="dxa" w:w="1542"/>
          </w:tcPr>
          <w:p>
            <w:pPr>
              <w:spacing w:before="0" w:after="0"/>
              <w:ind w:firstLine="0"/>
              <w:jc w:val="left"/>
            </w:pPr>
            <w:r>
              <w:rPr>
                <w:rFonts w:ascii="Times New Roman" w:hAnsi="Times New Roman"/>
                <w:sz w:val="22"/>
              </w:rPr>
              <w:t>Cablu CC + diode anti-retur</w:t>
            </w:r>
          </w:p>
        </w:tc>
        <w:tc>
          <w:tcPr>
            <w:tcW w:type="dxa" w:w="1542"/>
          </w:tcPr>
          <w:p>
            <w:pPr>
              <w:spacing w:before="0" w:after="0"/>
              <w:ind w:firstLine="0"/>
              <w:jc w:val="left"/>
            </w:pPr>
            <w:r>
              <w:rPr>
                <w:rFonts w:ascii="Times New Roman" w:hAnsi="Times New Roman"/>
                <w:sz w:val="22"/>
              </w:rPr>
              <w:t>Energia produsă de efortul uman; convertită AC prin invertor partajat</w:t>
            </w:r>
          </w:p>
        </w:tc>
      </w:tr>
      <w:tr>
        <w:tc>
          <w:tcPr>
            <w:tcW w:type="dxa" w:w="1542"/>
          </w:tcPr>
          <w:p>
            <w:pPr>
              <w:spacing w:before="0" w:after="0"/>
              <w:ind w:firstLine="0"/>
              <w:jc w:val="left"/>
            </w:pPr>
            <w:r>
              <w:rPr>
                <w:rFonts w:ascii="Times New Roman" w:hAnsi="Times New Roman"/>
                <w:sz w:val="22"/>
              </w:rPr>
              <w:t>Electricitate PVT pergolă</w:t>
            </w:r>
          </w:p>
        </w:tc>
        <w:tc>
          <w:tcPr>
            <w:tcW w:type="dxa" w:w="1542"/>
          </w:tcPr>
          <w:p>
            <w:pPr>
              <w:spacing w:before="0" w:after="0"/>
              <w:ind w:firstLine="0"/>
              <w:jc w:val="left"/>
            </w:pPr>
            <w:r>
              <w:rPr>
                <w:rFonts w:ascii="Times New Roman" w:hAnsi="Times New Roman"/>
                <w:sz w:val="22"/>
              </w:rPr>
              <w:t>Panouri PVT SymbiotyX</w:t>
            </w:r>
          </w:p>
        </w:tc>
        <w:tc>
          <w:tcPr>
            <w:tcW w:type="dxa" w:w="1542"/>
          </w:tcPr>
          <w:p>
            <w:pPr>
              <w:spacing w:before="0" w:after="0"/>
              <w:ind w:firstLine="0"/>
              <w:jc w:val="left"/>
            </w:pPr>
            <w:r>
              <w:rPr>
                <w:rFonts w:ascii="Times New Roman" w:hAnsi="Times New Roman"/>
                <w:sz w:val="22"/>
              </w:rPr>
              <w:t>Busbar DC / invertor</w:t>
            </w:r>
          </w:p>
        </w:tc>
        <w:tc>
          <w:tcPr>
            <w:tcW w:type="dxa" w:w="1542"/>
          </w:tcPr>
          <w:p>
            <w:pPr>
              <w:spacing w:before="0" w:after="0"/>
              <w:ind w:firstLine="0"/>
              <w:jc w:val="left"/>
            </w:pPr>
            <w:r>
              <w:rPr>
                <w:rFonts w:ascii="Times New Roman" w:hAnsi="Times New Roman"/>
                <w:sz w:val="22"/>
              </w:rPr>
              <w:t>MPPT dedicat PVT</w:t>
            </w:r>
          </w:p>
        </w:tc>
        <w:tc>
          <w:tcPr>
            <w:tcW w:type="dxa" w:w="1542"/>
          </w:tcPr>
          <w:p>
            <w:pPr>
              <w:spacing w:before="0" w:after="0"/>
              <w:ind w:firstLine="0"/>
              <w:jc w:val="left"/>
            </w:pPr>
            <w:r>
              <w:rPr>
                <w:rFonts w:ascii="Times New Roman" w:hAnsi="Times New Roman"/>
                <w:sz w:val="22"/>
              </w:rPr>
              <w:t>1–3 kWp; alimentare autonomă iluminat LED + export net în grid HUB</w:t>
            </w:r>
          </w:p>
        </w:tc>
      </w:tr>
      <w:tr>
        <w:tc>
          <w:tcPr>
            <w:tcW w:type="dxa" w:w="1542"/>
          </w:tcPr>
          <w:p>
            <w:pPr>
              <w:spacing w:before="0" w:after="0"/>
              <w:ind w:firstLine="0"/>
              <w:jc w:val="left"/>
            </w:pPr>
            <w:r>
              <w:rPr>
                <w:rFonts w:ascii="Times New Roman" w:hAnsi="Times New Roman"/>
                <w:sz w:val="22"/>
              </w:rPr>
              <w:t>Date telemetrie echipamente</w:t>
            </w:r>
          </w:p>
        </w:tc>
        <w:tc>
          <w:tcPr>
            <w:tcW w:type="dxa" w:w="1542"/>
          </w:tcPr>
          <w:p>
            <w:pPr>
              <w:spacing w:before="0" w:after="0"/>
              <w:ind w:firstLine="0"/>
              <w:jc w:val="left"/>
            </w:pPr>
            <w:r>
              <w:rPr>
                <w:rFonts w:ascii="Times New Roman" w:hAnsi="Times New Roman"/>
                <w:sz w:val="22"/>
              </w:rPr>
              <w:t>Micro-controller ESP32/STM32</w:t>
            </w:r>
          </w:p>
        </w:tc>
        <w:tc>
          <w:tcPr>
            <w:tcW w:type="dxa" w:w="1542"/>
          </w:tcPr>
          <w:p>
            <w:pPr>
              <w:spacing w:before="0" w:after="0"/>
              <w:ind w:firstLine="0"/>
              <w:jc w:val="left"/>
            </w:pPr>
            <w:r>
              <w:rPr>
                <w:rFonts w:ascii="Times New Roman" w:hAnsi="Times New Roman"/>
                <w:sz w:val="22"/>
              </w:rPr>
              <w:t>EMS Box adiacent</w:t>
            </w:r>
          </w:p>
        </w:tc>
        <w:tc>
          <w:tcPr>
            <w:tcW w:type="dxa" w:w="1542"/>
          </w:tcPr>
          <w:p>
            <w:pPr>
              <w:spacing w:before="0" w:after="0"/>
              <w:ind w:firstLine="0"/>
              <w:jc w:val="left"/>
            </w:pPr>
            <w:r>
              <w:rPr>
                <w:rFonts w:ascii="Times New Roman" w:hAnsi="Times New Roman"/>
                <w:sz w:val="22"/>
              </w:rPr>
              <w:t>MQTT / Modbus TCP, 30s</w:t>
            </w:r>
          </w:p>
        </w:tc>
        <w:tc>
          <w:tcPr>
            <w:tcW w:type="dxa" w:w="1542"/>
          </w:tcPr>
          <w:p>
            <w:pPr>
              <w:spacing w:before="0" w:after="0"/>
              <w:ind w:firstLine="0"/>
              <w:jc w:val="left"/>
            </w:pPr>
            <w:r>
              <w:rPr>
                <w:rFonts w:ascii="Times New Roman" w:hAnsi="Times New Roman"/>
                <w:sz w:val="22"/>
              </w:rPr>
              <w:t>P_inst, E_cumulată, ID utilizator NFC, alerte AssetHealth</w:t>
            </w:r>
          </w:p>
        </w:tc>
      </w:tr>
      <w:tr>
        <w:tc>
          <w:tcPr>
            <w:tcW w:type="dxa" w:w="1542"/>
          </w:tcPr>
          <w:p>
            <w:pPr>
              <w:spacing w:before="0" w:after="0"/>
              <w:ind w:firstLine="0"/>
              <w:jc w:val="left"/>
            </w:pPr>
            <w:r>
              <w:rPr>
                <w:rFonts w:ascii="Times New Roman" w:hAnsi="Times New Roman"/>
                <w:sz w:val="22"/>
              </w:rPr>
              <w:t>Date biometrice (opțional)</w:t>
            </w:r>
          </w:p>
        </w:tc>
        <w:tc>
          <w:tcPr>
            <w:tcW w:type="dxa" w:w="1542"/>
          </w:tcPr>
          <w:p>
            <w:pPr>
              <w:spacing w:before="0" w:after="0"/>
              <w:ind w:firstLine="0"/>
              <w:jc w:val="left"/>
            </w:pPr>
            <w:r>
              <w:rPr>
                <w:rFonts w:ascii="Times New Roman" w:hAnsi="Times New Roman"/>
                <w:sz w:val="22"/>
              </w:rPr>
              <w:t>Senzori echipamente</w:t>
            </w:r>
          </w:p>
        </w:tc>
        <w:tc>
          <w:tcPr>
            <w:tcW w:type="dxa" w:w="1542"/>
          </w:tcPr>
          <w:p>
            <w:pPr>
              <w:spacing w:before="0" w:after="0"/>
              <w:ind w:firstLine="0"/>
              <w:jc w:val="left"/>
            </w:pPr>
            <w:r>
              <w:rPr>
                <w:rFonts w:ascii="Times New Roman" w:hAnsi="Times New Roman"/>
                <w:sz w:val="22"/>
              </w:rPr>
              <w:t>App personal utilizator</w:t>
            </w:r>
          </w:p>
        </w:tc>
        <w:tc>
          <w:tcPr>
            <w:tcW w:type="dxa" w:w="1542"/>
          </w:tcPr>
          <w:p>
            <w:pPr>
              <w:spacing w:before="0" w:after="0"/>
              <w:ind w:firstLine="0"/>
              <w:jc w:val="left"/>
            </w:pPr>
            <w:r>
              <w:rPr>
                <w:rFonts w:ascii="Times New Roman" w:hAnsi="Times New Roman"/>
                <w:sz w:val="22"/>
              </w:rPr>
              <w:t>BLE 5.0 / API Cloud</w:t>
            </w:r>
          </w:p>
        </w:tc>
        <w:tc>
          <w:tcPr>
            <w:tcW w:type="dxa" w:w="1542"/>
          </w:tcPr>
          <w:p>
            <w:pPr>
              <w:spacing w:before="0" w:after="0"/>
              <w:ind w:firstLine="0"/>
              <w:jc w:val="left"/>
            </w:pPr>
            <w:r>
              <w:rPr>
                <w:rFonts w:ascii="Times New Roman" w:hAnsi="Times New Roman"/>
                <w:sz w:val="22"/>
              </w:rPr>
              <w:t>Puls, calorii arse, RPM, forță; date personale criptate GDPR</w:t>
            </w:r>
          </w:p>
        </w:tc>
      </w:tr>
      <w:tr>
        <w:tc>
          <w:tcPr>
            <w:tcW w:type="dxa" w:w="1542"/>
          </w:tcPr>
          <w:p>
            <w:pPr>
              <w:spacing w:before="0" w:after="0"/>
              <w:ind w:firstLine="0"/>
              <w:jc w:val="left"/>
            </w:pPr>
            <w:r>
              <w:rPr>
                <w:rFonts w:ascii="Times New Roman" w:hAnsi="Times New Roman"/>
                <w:sz w:val="22"/>
              </w:rPr>
              <w:t>Tokeni S2E</w:t>
            </w:r>
          </w:p>
        </w:tc>
        <w:tc>
          <w:tcPr>
            <w:tcW w:type="dxa" w:w="1542"/>
          </w:tcPr>
          <w:p>
            <w:pPr>
              <w:spacing w:before="0" w:after="0"/>
              <w:ind w:firstLine="0"/>
              <w:jc w:val="left"/>
            </w:pPr>
            <w:r>
              <w:rPr>
                <w:rFonts w:ascii="Times New Roman" w:hAnsi="Times New Roman"/>
                <w:sz w:val="22"/>
              </w:rPr>
              <w:t>EMS → Cloud</w:t>
            </w:r>
          </w:p>
        </w:tc>
        <w:tc>
          <w:tcPr>
            <w:tcW w:type="dxa" w:w="1542"/>
          </w:tcPr>
          <w:p>
            <w:pPr>
              <w:spacing w:before="0" w:after="0"/>
              <w:ind w:firstLine="0"/>
              <w:jc w:val="left"/>
            </w:pPr>
            <w:r>
              <w:rPr>
                <w:rFonts w:ascii="Times New Roman" w:hAnsi="Times New Roman"/>
                <w:sz w:val="22"/>
              </w:rPr>
              <w:t>App utilizator / Wallet</w:t>
            </w:r>
          </w:p>
        </w:tc>
        <w:tc>
          <w:tcPr>
            <w:tcW w:type="dxa" w:w="1542"/>
          </w:tcPr>
          <w:p>
            <w:pPr>
              <w:spacing w:before="0" w:after="0"/>
              <w:ind w:firstLine="0"/>
              <w:jc w:val="left"/>
            </w:pPr>
            <w:r>
              <w:rPr>
                <w:rFonts w:ascii="Times New Roman" w:hAnsi="Times New Roman"/>
                <w:sz w:val="22"/>
              </w:rPr>
              <w:t>API REST → Blockchain</w:t>
            </w:r>
          </w:p>
        </w:tc>
        <w:tc>
          <w:tcPr>
            <w:tcW w:type="dxa" w:w="1542"/>
          </w:tcPr>
          <w:p>
            <w:pPr>
              <w:spacing w:before="0" w:after="0"/>
              <w:ind w:firstLine="0"/>
              <w:jc w:val="left"/>
            </w:pPr>
            <w:r>
              <w:rPr>
                <w:rFonts w:ascii="Times New Roman" w:hAnsi="Times New Roman"/>
                <w:sz w:val="22"/>
              </w:rPr>
              <w:t>Tokeni utilitari emiși per kWh produs; donabili SolidarityX</w:t>
            </w:r>
          </w:p>
        </w:tc>
      </w:tr>
      <w:tr>
        <w:tc>
          <w:tcPr>
            <w:tcW w:type="dxa" w:w="1542"/>
          </w:tcPr>
          <w:p>
            <w:pPr>
              <w:spacing w:before="0" w:after="0"/>
              <w:ind w:firstLine="0"/>
              <w:jc w:val="left"/>
            </w:pPr>
            <w:r>
              <w:rPr>
                <w:rFonts w:ascii="Times New Roman" w:hAnsi="Times New Roman"/>
                <w:sz w:val="22"/>
              </w:rPr>
              <w:t>Comandă EMS (dispatch)</w:t>
            </w:r>
          </w:p>
        </w:tc>
        <w:tc>
          <w:tcPr>
            <w:tcW w:type="dxa" w:w="1542"/>
          </w:tcPr>
          <w:p>
            <w:pPr>
              <w:spacing w:before="0" w:after="0"/>
              <w:ind w:firstLine="0"/>
              <w:jc w:val="left"/>
            </w:pPr>
            <w:r>
              <w:rPr>
                <w:rFonts w:ascii="Times New Roman" w:hAnsi="Times New Roman"/>
                <w:sz w:val="22"/>
              </w:rPr>
              <w:t>EMS Box adiacent</w:t>
            </w:r>
          </w:p>
        </w:tc>
        <w:tc>
          <w:tcPr>
            <w:tcW w:type="dxa" w:w="1542"/>
          </w:tcPr>
          <w:p>
            <w:pPr>
              <w:spacing w:before="0" w:after="0"/>
              <w:ind w:firstLine="0"/>
              <w:jc w:val="left"/>
            </w:pPr>
            <w:r>
              <w:rPr>
                <w:rFonts w:ascii="Times New Roman" w:hAnsi="Times New Roman"/>
                <w:sz w:val="22"/>
              </w:rPr>
              <w:t>Controllere echipamente</w:t>
            </w:r>
          </w:p>
        </w:tc>
        <w:tc>
          <w:tcPr>
            <w:tcW w:type="dxa" w:w="1542"/>
          </w:tcPr>
          <w:p>
            <w:pPr>
              <w:spacing w:before="0" w:after="0"/>
              <w:ind w:firstLine="0"/>
              <w:jc w:val="left"/>
            </w:pPr>
            <w:r>
              <w:rPr>
                <w:rFonts w:ascii="Times New Roman" w:hAnsi="Times New Roman"/>
                <w:sz w:val="22"/>
              </w:rPr>
              <w:t>Modbus TCP</w:t>
            </w:r>
          </w:p>
        </w:tc>
        <w:tc>
          <w:tcPr>
            <w:tcW w:type="dxa" w:w="1542"/>
          </w:tcPr>
          <w:p>
            <w:pPr>
              <w:spacing w:before="0" w:after="0"/>
              <w:ind w:firstLine="0"/>
              <w:jc w:val="left"/>
            </w:pPr>
            <w:r>
              <w:rPr>
                <w:rFonts w:ascii="Times New Roman" w:hAnsi="Times New Roman"/>
                <w:sz w:val="22"/>
              </w:rPr>
              <w:t>Activare/deactivare echipamente; ajustare setpoint baterie tampon</w:t>
            </w:r>
          </w:p>
        </w:tc>
      </w:tr>
      <w:tr>
        <w:tc>
          <w:tcPr>
            <w:tcW w:type="dxa" w:w="1542"/>
          </w:tcPr>
          <w:p>
            <w:pPr>
              <w:spacing w:before="0" w:after="0"/>
              <w:ind w:firstLine="0"/>
              <w:jc w:val="left"/>
            </w:pPr>
            <w:r>
              <w:rPr>
                <w:rFonts w:ascii="Times New Roman" w:hAnsi="Times New Roman"/>
                <w:sz w:val="22"/>
              </w:rPr>
              <w:t>Display dashboard pergolă</w:t>
            </w:r>
          </w:p>
        </w:tc>
        <w:tc>
          <w:tcPr>
            <w:tcW w:type="dxa" w:w="1542"/>
          </w:tcPr>
          <w:p>
            <w:pPr>
              <w:spacing w:before="0" w:after="0"/>
              <w:ind w:firstLine="0"/>
              <w:jc w:val="left"/>
            </w:pPr>
            <w:r>
              <w:rPr>
                <w:rFonts w:ascii="Times New Roman" w:hAnsi="Times New Roman"/>
                <w:sz w:val="22"/>
              </w:rPr>
              <w:t>Cloud + EMS</w:t>
            </w:r>
          </w:p>
        </w:tc>
        <w:tc>
          <w:tcPr>
            <w:tcW w:type="dxa" w:w="1542"/>
          </w:tcPr>
          <w:p>
            <w:pPr>
              <w:spacing w:before="0" w:after="0"/>
              <w:ind w:firstLine="0"/>
              <w:jc w:val="left"/>
            </w:pPr>
            <w:r>
              <w:rPr>
                <w:rFonts w:ascii="Times New Roman" w:hAnsi="Times New Roman"/>
                <w:sz w:val="22"/>
              </w:rPr>
              <w:t>LED display exterior</w:t>
            </w:r>
          </w:p>
        </w:tc>
        <w:tc>
          <w:tcPr>
            <w:tcW w:type="dxa" w:w="1542"/>
          </w:tcPr>
          <w:p>
            <w:pPr>
              <w:spacing w:before="0" w:after="0"/>
              <w:ind w:firstLine="0"/>
              <w:jc w:val="left"/>
            </w:pPr>
            <w:r>
              <w:rPr>
                <w:rFonts w:ascii="Times New Roman" w:hAnsi="Times New Roman"/>
                <w:sz w:val="22"/>
              </w:rPr>
              <w:t>HDMI / WiFi</w:t>
            </w:r>
          </w:p>
        </w:tc>
        <w:tc>
          <w:tcPr>
            <w:tcW w:type="dxa" w:w="1542"/>
          </w:tcPr>
          <w:p>
            <w:pPr>
              <w:spacing w:before="0" w:after="0"/>
              <w:ind w:firstLine="0"/>
              <w:jc w:val="left"/>
            </w:pPr>
            <w:r>
              <w:rPr>
                <w:rFonts w:ascii="Times New Roman" w:hAnsi="Times New Roman"/>
                <w:sz w:val="22"/>
              </w:rPr>
              <w:t>Producție live, clasament comunitar, tokeni, mesaje motivaționale</w:t>
            </w:r>
          </w:p>
        </w:tc>
      </w:tr>
      <w:tr>
        <w:tc>
          <w:tcPr>
            <w:tcW w:type="dxa" w:w="1542"/>
          </w:tcPr>
          <w:p>
            <w:pPr>
              <w:spacing w:before="0" w:after="0"/>
              <w:ind w:firstLine="0"/>
              <w:jc w:val="left"/>
            </w:pPr>
            <w:r>
              <w:rPr>
                <w:rFonts w:ascii="Times New Roman" w:hAnsi="Times New Roman"/>
                <w:sz w:val="22"/>
              </w:rPr>
              <w:t>Alertă AssetHealth</w:t>
            </w:r>
          </w:p>
        </w:tc>
        <w:tc>
          <w:tcPr>
            <w:tcW w:type="dxa" w:w="1542"/>
          </w:tcPr>
          <w:p>
            <w:pPr>
              <w:spacing w:before="0" w:after="0"/>
              <w:ind w:firstLine="0"/>
              <w:jc w:val="left"/>
            </w:pPr>
            <w:r>
              <w:rPr>
                <w:rFonts w:ascii="Times New Roman" w:hAnsi="Times New Roman"/>
                <w:sz w:val="22"/>
              </w:rPr>
              <w:t>EMS / senzori vibrații</w:t>
            </w:r>
          </w:p>
        </w:tc>
        <w:tc>
          <w:tcPr>
            <w:tcW w:type="dxa" w:w="1542"/>
          </w:tcPr>
          <w:p>
            <w:pPr>
              <w:spacing w:before="0" w:after="0"/>
              <w:ind w:firstLine="0"/>
              <w:jc w:val="left"/>
            </w:pPr>
            <w:r>
              <w:rPr>
                <w:rFonts w:ascii="Times New Roman" w:hAnsi="Times New Roman"/>
                <w:sz w:val="22"/>
              </w:rPr>
              <w:t>Platforma ESCO</w:t>
            </w:r>
          </w:p>
        </w:tc>
        <w:tc>
          <w:tcPr>
            <w:tcW w:type="dxa" w:w="1542"/>
          </w:tcPr>
          <w:p>
            <w:pPr>
              <w:spacing w:before="0" w:after="0"/>
              <w:ind w:firstLine="0"/>
              <w:jc w:val="left"/>
            </w:pPr>
            <w:r>
              <w:rPr>
                <w:rFonts w:ascii="Times New Roman" w:hAnsi="Times New Roman"/>
                <w:sz w:val="22"/>
              </w:rPr>
              <w:t>MQTT → Cloud → SMS/email</w:t>
            </w:r>
          </w:p>
        </w:tc>
        <w:tc>
          <w:tcPr>
            <w:tcW w:type="dxa" w:w="1542"/>
          </w:tcPr>
          <w:p>
            <w:pPr>
              <w:spacing w:before="0" w:after="0"/>
              <w:ind w:firstLine="0"/>
              <w:jc w:val="left"/>
            </w:pPr>
            <w:r>
              <w:rPr>
                <w:rFonts w:ascii="Times New Roman" w:hAnsi="Times New Roman"/>
                <w:sz w:val="22"/>
              </w:rPr>
              <w:t>Detectare anomalii: dezechilibru, supra-încărcare, uzură lagăre</w:t>
            </w:r>
          </w:p>
        </w:tc>
      </w:tr>
      <w:tr>
        <w:tc>
          <w:tcPr>
            <w:tcW w:type="dxa" w:w="1542"/>
          </w:tcPr>
          <w:p>
            <w:pPr>
              <w:spacing w:before="0" w:after="0"/>
              <w:ind w:firstLine="0"/>
              <w:jc w:val="left"/>
            </w:pPr>
            <w:r>
              <w:rPr>
                <w:rFonts w:ascii="Times New Roman" w:hAnsi="Times New Roman"/>
                <w:sz w:val="22"/>
              </w:rPr>
              <w:t>Date carbon (CO₂ captat)</w:t>
            </w:r>
          </w:p>
        </w:tc>
        <w:tc>
          <w:tcPr>
            <w:tcW w:type="dxa" w:w="1542"/>
          </w:tcPr>
          <w:p>
            <w:pPr>
              <w:spacing w:before="0" w:after="0"/>
              <w:ind w:firstLine="0"/>
              <w:jc w:val="left"/>
            </w:pPr>
            <w:r>
              <w:rPr>
                <w:rFonts w:ascii="Times New Roman" w:hAnsi="Times New Roman"/>
                <w:sz w:val="22"/>
              </w:rPr>
              <w:t>Senzori vegetație pergolă</w:t>
            </w:r>
          </w:p>
        </w:tc>
        <w:tc>
          <w:tcPr>
            <w:tcW w:type="dxa" w:w="1542"/>
          </w:tcPr>
          <w:p>
            <w:pPr>
              <w:spacing w:before="0" w:after="0"/>
              <w:ind w:firstLine="0"/>
              <w:jc w:val="left"/>
            </w:pPr>
            <w:r>
              <w:rPr>
                <w:rFonts w:ascii="Times New Roman" w:hAnsi="Times New Roman"/>
                <w:sz w:val="22"/>
              </w:rPr>
              <w:t>Cloud → MRV Carbon</w:t>
            </w:r>
          </w:p>
        </w:tc>
        <w:tc>
          <w:tcPr>
            <w:tcW w:type="dxa" w:w="1542"/>
          </w:tcPr>
          <w:p>
            <w:pPr>
              <w:spacing w:before="0" w:after="0"/>
              <w:ind w:firstLine="0"/>
              <w:jc w:val="left"/>
            </w:pPr>
            <w:r>
              <w:rPr>
                <w:rFonts w:ascii="Times New Roman" w:hAnsi="Times New Roman"/>
                <w:sz w:val="22"/>
              </w:rPr>
              <w:t>API → ReCarbon</w:t>
            </w:r>
          </w:p>
        </w:tc>
        <w:tc>
          <w:tcPr>
            <w:tcW w:type="dxa" w:w="1542"/>
          </w:tcPr>
          <w:p>
            <w:pPr>
              <w:spacing w:before="0" w:after="0"/>
              <w:ind w:firstLine="0"/>
              <w:jc w:val="left"/>
            </w:pPr>
            <w:r>
              <w:rPr>
                <w:rFonts w:ascii="Times New Roman" w:hAnsi="Times New Roman"/>
                <w:sz w:val="22"/>
              </w:rPr>
              <w:t>Calcul continuu captare CO₂ vegetație; raportare CRCF/ETS</w:t>
            </w:r>
          </w:p>
        </w:tc>
      </w:tr>
      <w:tr>
        <w:tc>
          <w:tcPr>
            <w:tcW w:type="dxa" w:w="1542"/>
          </w:tcPr>
          <w:p>
            <w:pPr>
              <w:spacing w:before="0" w:after="0"/>
              <w:ind w:firstLine="0"/>
              <w:jc w:val="left"/>
            </w:pPr>
            <w:r>
              <w:rPr>
                <w:rFonts w:ascii="Times New Roman" w:hAnsi="Times New Roman"/>
                <w:sz w:val="22"/>
              </w:rPr>
              <w:t>Energie termică reziduală</w:t>
            </w:r>
          </w:p>
        </w:tc>
        <w:tc>
          <w:tcPr>
            <w:tcW w:type="dxa" w:w="1542"/>
          </w:tcPr>
          <w:p>
            <w:pPr>
              <w:spacing w:before="0" w:after="0"/>
              <w:ind w:firstLine="0"/>
              <w:jc w:val="left"/>
            </w:pPr>
            <w:r>
              <w:rPr>
                <w:rFonts w:ascii="Times New Roman" w:hAnsi="Times New Roman"/>
                <w:sz w:val="22"/>
              </w:rPr>
              <w:t>Generatoare EM (disipare)</w:t>
            </w:r>
          </w:p>
        </w:tc>
        <w:tc>
          <w:tcPr>
            <w:tcW w:type="dxa" w:w="1542"/>
          </w:tcPr>
          <w:p>
            <w:pPr>
              <w:spacing w:before="0" w:after="0"/>
              <w:ind w:firstLine="0"/>
              <w:jc w:val="left"/>
            </w:pPr>
            <w:r>
              <w:rPr>
                <w:rFonts w:ascii="Times New Roman" w:hAnsi="Times New Roman"/>
                <w:sz w:val="22"/>
              </w:rPr>
              <w:t>Ventilație naturală open-air</w:t>
            </w:r>
          </w:p>
        </w:tc>
        <w:tc>
          <w:tcPr>
            <w:tcW w:type="dxa" w:w="1542"/>
          </w:tcPr>
          <w:p>
            <w:pPr>
              <w:spacing w:before="0" w:after="0"/>
              <w:ind w:firstLine="0"/>
              <w:jc w:val="left"/>
            </w:pPr>
            <w:r>
              <w:rPr>
                <w:rFonts w:ascii="Times New Roman" w:hAnsi="Times New Roman"/>
                <w:sz w:val="22"/>
              </w:rPr>
              <w:t>Conductori termici naturali</w:t>
            </w:r>
          </w:p>
        </w:tc>
        <w:tc>
          <w:tcPr>
            <w:tcW w:type="dxa" w:w="1542"/>
          </w:tcPr>
          <w:p>
            <w:pPr>
              <w:spacing w:before="0" w:after="0"/>
              <w:ind w:firstLine="0"/>
              <w:jc w:val="left"/>
            </w:pPr>
            <w:r>
              <w:rPr>
                <w:rFonts w:ascii="Times New Roman" w:hAnsi="Times New Roman"/>
                <w:sz w:val="22"/>
              </w:rPr>
              <w:t>Căldura disipată de generatoare dispersată natural; nu necesită răcire activă</w:t>
            </w:r>
          </w:p>
        </w:tc>
      </w:tr>
    </w:tbl>
    <w:p>
      <w:pPr>
        <w:ind w:firstLine="0"/>
      </w:pPr>
    </w:p>
    <w:p>
      <w:pPr>
        <w:ind w:firstLine="0"/>
      </w:pPr>
    </w:p>
    <w:p>
      <w:pPr>
        <w:pStyle w:val="SubHeading"/>
        <w:keepNext/>
      </w:pPr>
      <w:r>
        <w:t>6.2 Gamificarea ca motor de engagement — arhitectura pe 3 niveluri</w:t>
      </w:r>
    </w:p>
    <w:p>
      <w:pPr>
        <w:ind w:firstLine="0"/>
      </w:pPr>
    </w:p>
    <w:p>
      <w:pPr/>
      <w:r>
        <w:t>Gamificarea sistemului S2E este implementată pe trei niveluri ierarhice, cu mecanisme de motivare distincte și complementare, proiectate conform principiilor de game design (Nicholson 2015, Hamari et al. 2014):</w:t>
      </w:r>
    </w:p>
    <w:p>
      <w:pPr/>
      <w:r>
        <w:rPr>
          <w:b/>
        </w:rPr>
        <w:t>Nivelul 1 — Individual (Micro-gamificare): dashboard personal în App cu: watt-ore per sesiune (actualizat în timp real pe display pergolă), calorii estimate (P_elec/η_conversie × factor metabolic), tokeni S2E acumulați (1 token per 50 Wh), milestone-uri progresive (primul kWh, 100 sesiuni, „Pedalor de Aur"), rang personal (Începător → Activ → Sportiv → Campion → Ambasador Energetic).</w:t>
      </w:r>
    </w:p>
    <w:p>
      <w:pPr/>
      <w:r>
        <w:rPr>
          <w:b/>
        </w:rPr>
        <w:t>Nivelul 2 — Comunitar (Macro-gamificare): clasament lunar pe display pergolă vizibil public (top 10 contributori), competiții inter-HUB-uri, obiective colective cuantificate („Hai să producem 50 kWh luna aceasta pentru a alimenta iluminatul public 30 de zile!"), social proof vizibil: leduri indicatoare de activitate per echipament.</w:t>
      </w:r>
    </w:p>
    <w:p>
      <w:pPr/>
      <w:r>
        <w:rPr>
          <w:b/>
        </w:rPr>
        <w:t>Nivelul 3 — Solidaritate (Meta-gamificare): tokeni donabili prin SolidarityX (minimum 5% din totalul lunar generat direcționat automat), campanii tematice cu target social explicit, „Energy Champions" — membrii cu cele mai multe donații recunoscuți public în Exergy App.</w:t>
      </w:r>
    </w:p>
    <w:p>
      <w:pPr>
        <w:ind w:firstLine="0"/>
      </w:pPr>
    </w:p>
    <w:p>
      <w:pPr>
        <w:pStyle w:val="SubHeading"/>
        <w:keepNext/>
      </w:pPr>
      <w:r>
        <w:t>6.3 Tokenizarea energiei produse de efortul uman</w:t>
      </w:r>
    </w:p>
    <w:p>
      <w:pPr>
        <w:ind w:firstLine="0"/>
      </w:pPr>
    </w:p>
    <w:p>
      <w:pPr/>
      <w:r>
        <w:t>Tokenul S2E este un token utilitar (nu speculativ) emis de platforma Exergy Cloud pentru fiecare 50 Wh de electricitate produsă și livrată net în grid-ul HUB, confirmat de smart meter-ul certificat al Box-ului adiacent. Valoarea tokenului este stabilă, denominată în servicii energetice comunitare (1 token = reducere echivalentă din factura de energie a titularului).</w:t>
      </w:r>
    </w:p>
    <w:p>
      <w:pPr/>
      <w:r>
        <w:t>Schema de tokenizare respectă Regulamentul EU Markets in Crypto-Assets (MiCA) pentru tokeni de utilitate, cu clauze de nespeculativitate și utilizare exclusivă în ecosistemul comunitar. Auditabilitatea este asigurată prin blockchain permisionat (Hyperledger Fabric), cu acces public la statisticile agregate și acces privat (GDPR-conform) la datele individuale.</w:t>
      </w:r>
    </w:p>
    <w:p>
      <w:pPr>
        <w:ind w:firstLine="0"/>
      </w:pPr>
    </w:p>
    <w:p>
      <w:pPr>
        <w:pStyle w:val="ChapterHeading"/>
        <w:keepNext/>
      </w:pPr>
      <w:r>
        <w:t>7. Modelul Economic — Investiție, Venituri și Viabilitate</w:t>
      </w:r>
    </w:p>
    <w:p>
      <w:pPr>
        <w:ind w:firstLine="0"/>
      </w:pPr>
    </w:p>
    <w:p>
      <w:pPr>
        <w:pStyle w:val="SubHeading"/>
        <w:keepNext/>
      </w:pPr>
      <w:r>
        <w:t>7.1 Structura costurilor și veniturilor</w:t>
      </w:r>
    </w:p>
    <w:p>
      <w:pPr>
        <w:ind w:firstLine="0"/>
      </w:pPr>
    </w:p>
    <w:p>
      <w:pPr>
        <w:ind w:firstLine="0"/>
      </w:pPr>
    </w:p>
    <w:p>
      <w:pPr>
        <w:pStyle w:val="TableCaption"/>
      </w:pPr>
      <w:r>
        <w:t>Tabel 7. Analiza economică EB-S2E Open-Air pentru comunitate 500 membri. Scenariul de bază: 10 echipamente, pergolă 2kWp, participare 30%. Scenariul optimist: 12 echipamente, pergolă 3kWp, participare 50%. Prețurile echipamentelor din materiale naturale includ supracost +20–35% față de echipamente convenționale. Sursă: calcul propriu pe baza Model Spec S2E V2, EnEx Institute 2025; prețuri piață RO 2025.</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Element Financiar</w:t>
            </w:r>
          </w:p>
        </w:tc>
        <w:tc>
          <w:tcPr>
            <w:tcW w:type="dxa" w:w="1927"/>
          </w:tcPr>
          <w:p>
            <w:pPr>
              <w:spacing w:before="0" w:after="0"/>
              <w:ind w:firstLine="0"/>
              <w:jc w:val="left"/>
            </w:pPr>
            <w:r>
              <w:rPr>
                <w:rFonts w:ascii="Times New Roman" w:hAnsi="Times New Roman"/>
                <w:b/>
                <w:sz w:val="22"/>
              </w:rPr>
              <w:t>Scenariu de bază</w:t>
            </w:r>
          </w:p>
        </w:tc>
        <w:tc>
          <w:tcPr>
            <w:tcW w:type="dxa" w:w="1927"/>
          </w:tcPr>
          <w:p>
            <w:pPr>
              <w:spacing w:before="0" w:after="0"/>
              <w:ind w:firstLine="0"/>
              <w:jc w:val="left"/>
            </w:pPr>
            <w:r>
              <w:rPr>
                <w:rFonts w:ascii="Times New Roman" w:hAnsi="Times New Roman"/>
                <w:b/>
                <w:sz w:val="22"/>
              </w:rPr>
              <w:t>Scenariu optimist</w:t>
            </w:r>
          </w:p>
        </w:tc>
        <w:tc>
          <w:tcPr>
            <w:tcW w:type="dxa" w:w="1927"/>
          </w:tcPr>
          <w:p>
            <w:pPr>
              <w:spacing w:before="0" w:after="0"/>
              <w:ind w:firstLine="0"/>
              <w:jc w:val="left"/>
            </w:pPr>
            <w:r>
              <w:rPr>
                <w:rFonts w:ascii="Times New Roman" w:hAnsi="Times New Roman"/>
                <w:b/>
                <w:sz w:val="22"/>
              </w:rPr>
              <w:t>Note și Ipoteze</w:t>
            </w:r>
          </w:p>
        </w:tc>
      </w:tr>
      <w:tr>
        <w:tc>
          <w:tcPr>
            <w:tcW w:type="dxa" w:w="1927"/>
          </w:tcPr>
          <w:p>
            <w:pPr>
              <w:spacing w:before="0" w:after="0"/>
              <w:ind w:firstLine="0"/>
              <w:jc w:val="left"/>
            </w:pPr>
            <w:r>
              <w:rPr>
                <w:rFonts w:ascii="Times New Roman" w:hAnsi="Times New Roman"/>
                <w:sz w:val="22"/>
              </w:rPr>
              <w:t>INVESTIȚIE INIȚIALĂ (CAPEX)</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6–8 echipamente EM (biciclete, eliptice, vâslit)</w:t>
            </w:r>
          </w:p>
        </w:tc>
        <w:tc>
          <w:tcPr>
            <w:tcW w:type="dxa" w:w="1927"/>
          </w:tcPr>
          <w:p>
            <w:pPr>
              <w:spacing w:before="0" w:after="0"/>
              <w:ind w:firstLine="0"/>
              <w:jc w:val="left"/>
            </w:pPr>
            <w:r>
              <w:rPr>
                <w:rFonts w:ascii="Times New Roman" w:hAnsi="Times New Roman"/>
                <w:sz w:val="22"/>
              </w:rPr>
              <w:t>8.000–12.000 EUR</w:t>
            </w:r>
          </w:p>
        </w:tc>
        <w:tc>
          <w:tcPr>
            <w:tcW w:type="dxa" w:w="1927"/>
          </w:tcPr>
          <w:p>
            <w:pPr>
              <w:spacing w:before="0" w:after="0"/>
              <w:ind w:firstLine="0"/>
              <w:jc w:val="left"/>
            </w:pPr>
            <w:r>
              <w:rPr>
                <w:rFonts w:ascii="Times New Roman" w:hAnsi="Times New Roman"/>
                <w:sz w:val="22"/>
              </w:rPr>
              <w:t>6.000–9.000 EUR</w:t>
            </w:r>
          </w:p>
        </w:tc>
        <w:tc>
          <w:tcPr>
            <w:tcW w:type="dxa" w:w="1927"/>
          </w:tcPr>
          <w:p>
            <w:pPr>
              <w:spacing w:before="0" w:after="0"/>
              <w:ind w:firstLine="0"/>
              <w:jc w:val="left"/>
            </w:pPr>
            <w:r>
              <w:rPr>
                <w:rFonts w:ascii="Times New Roman" w:hAnsi="Times New Roman"/>
                <w:sz w:val="22"/>
              </w:rPr>
              <w:t>Echipamente din materiale naturale; cost mai mare față de convențional</w:t>
            </w:r>
          </w:p>
        </w:tc>
      </w:tr>
      <w:tr>
        <w:tc>
          <w:tcPr>
            <w:tcW w:type="dxa" w:w="1927"/>
          </w:tcPr>
          <w:p>
            <w:pPr>
              <w:spacing w:before="0" w:after="0"/>
              <w:ind w:firstLine="0"/>
              <w:jc w:val="left"/>
            </w:pPr>
            <w:r>
              <w:rPr>
                <w:rFonts w:ascii="Times New Roman" w:hAnsi="Times New Roman"/>
                <w:sz w:val="22"/>
              </w:rPr>
              <w:t>2–4 echipamente Piezo (stepper, bănci, dale piezo 5m²)</w:t>
            </w:r>
          </w:p>
        </w:tc>
        <w:tc>
          <w:tcPr>
            <w:tcW w:type="dxa" w:w="1927"/>
          </w:tcPr>
          <w:p>
            <w:pPr>
              <w:spacing w:before="0" w:after="0"/>
              <w:ind w:firstLine="0"/>
              <w:jc w:val="left"/>
            </w:pPr>
            <w:r>
              <w:rPr>
                <w:rFonts w:ascii="Times New Roman" w:hAnsi="Times New Roman"/>
                <w:sz w:val="22"/>
              </w:rPr>
              <w:t>3.000–5.000 EUR</w:t>
            </w:r>
          </w:p>
        </w:tc>
        <w:tc>
          <w:tcPr>
            <w:tcW w:type="dxa" w:w="1927"/>
          </w:tcPr>
          <w:p>
            <w:pPr>
              <w:spacing w:before="0" w:after="0"/>
              <w:ind w:firstLine="0"/>
              <w:jc w:val="left"/>
            </w:pPr>
            <w:r>
              <w:rPr>
                <w:rFonts w:ascii="Times New Roman" w:hAnsi="Times New Roman"/>
                <w:sz w:val="22"/>
              </w:rPr>
              <w:t>2.000–4.000 EUR</w:t>
            </w:r>
          </w:p>
        </w:tc>
        <w:tc>
          <w:tcPr>
            <w:tcW w:type="dxa" w:w="1927"/>
          </w:tcPr>
          <w:p>
            <w:pPr>
              <w:spacing w:before="0" w:after="0"/>
              <w:ind w:firstLine="0"/>
              <w:jc w:val="left"/>
            </w:pPr>
            <w:r>
              <w:rPr>
                <w:rFonts w:ascii="Times New Roman" w:hAnsi="Times New Roman"/>
                <w:sz w:val="22"/>
              </w:rPr>
              <w:t>Dalele piezo: ~300–500 EUR/m²; durată viață &gt;20 ani</w:t>
            </w:r>
          </w:p>
        </w:tc>
      </w:tr>
      <w:tr>
        <w:tc>
          <w:tcPr>
            <w:tcW w:type="dxa" w:w="1927"/>
          </w:tcPr>
          <w:p>
            <w:pPr>
              <w:spacing w:before="0" w:after="0"/>
              <w:ind w:firstLine="0"/>
              <w:jc w:val="left"/>
            </w:pPr>
            <w:r>
              <w:rPr>
                <w:rFonts w:ascii="Times New Roman" w:hAnsi="Times New Roman"/>
                <w:sz w:val="22"/>
              </w:rPr>
              <w:t>Sistem electric (invertoare, busbar, baterie tampon 5kWh)</w:t>
            </w:r>
          </w:p>
        </w:tc>
        <w:tc>
          <w:tcPr>
            <w:tcW w:type="dxa" w:w="1927"/>
          </w:tcPr>
          <w:p>
            <w:pPr>
              <w:spacing w:before="0" w:after="0"/>
              <w:ind w:firstLine="0"/>
              <w:jc w:val="left"/>
            </w:pPr>
            <w:r>
              <w:rPr>
                <w:rFonts w:ascii="Times New Roman" w:hAnsi="Times New Roman"/>
                <w:sz w:val="22"/>
              </w:rPr>
              <w:t>3.500–5.500 EUR</w:t>
            </w:r>
          </w:p>
        </w:tc>
        <w:tc>
          <w:tcPr>
            <w:tcW w:type="dxa" w:w="1927"/>
          </w:tcPr>
          <w:p>
            <w:pPr>
              <w:spacing w:before="0" w:after="0"/>
              <w:ind w:firstLine="0"/>
              <w:jc w:val="left"/>
            </w:pPr>
            <w:r>
              <w:rPr>
                <w:rFonts w:ascii="Times New Roman" w:hAnsi="Times New Roman"/>
                <w:sz w:val="22"/>
              </w:rPr>
              <w:t>2.500–4.000 EUR</w:t>
            </w:r>
          </w:p>
        </w:tc>
        <w:tc>
          <w:tcPr>
            <w:tcW w:type="dxa" w:w="1927"/>
          </w:tcPr>
          <w:p>
            <w:pPr>
              <w:spacing w:before="0" w:after="0"/>
              <w:ind w:firstLine="0"/>
              <w:jc w:val="left"/>
            </w:pPr>
            <w:r>
              <w:rPr>
                <w:rFonts w:ascii="Times New Roman" w:hAnsi="Times New Roman"/>
                <w:sz w:val="22"/>
              </w:rPr>
              <w:t>Partajat cu Box adiacent; cost alocat proporțional S2E</w:t>
            </w:r>
          </w:p>
        </w:tc>
      </w:tr>
      <w:tr>
        <w:tc>
          <w:tcPr>
            <w:tcW w:type="dxa" w:w="1927"/>
          </w:tcPr>
          <w:p>
            <w:pPr>
              <w:spacing w:before="0" w:after="0"/>
              <w:ind w:firstLine="0"/>
              <w:jc w:val="left"/>
            </w:pPr>
            <w:r>
              <w:rPr>
                <w:rFonts w:ascii="Times New Roman" w:hAnsi="Times New Roman"/>
                <w:sz w:val="22"/>
              </w:rPr>
              <w:t>Pergolă SymbiotyX + PVT (1–2 kWp)</w:t>
            </w:r>
          </w:p>
        </w:tc>
        <w:tc>
          <w:tcPr>
            <w:tcW w:type="dxa" w:w="1927"/>
          </w:tcPr>
          <w:p>
            <w:pPr>
              <w:spacing w:before="0" w:after="0"/>
              <w:ind w:firstLine="0"/>
              <w:jc w:val="left"/>
            </w:pPr>
            <w:r>
              <w:rPr>
                <w:rFonts w:ascii="Times New Roman" w:hAnsi="Times New Roman"/>
                <w:sz w:val="22"/>
              </w:rPr>
              <w:t>4.000–7.000 EUR</w:t>
            </w:r>
          </w:p>
        </w:tc>
        <w:tc>
          <w:tcPr>
            <w:tcW w:type="dxa" w:w="1927"/>
          </w:tcPr>
          <w:p>
            <w:pPr>
              <w:spacing w:before="0" w:after="0"/>
              <w:ind w:firstLine="0"/>
              <w:jc w:val="left"/>
            </w:pPr>
            <w:r>
              <w:rPr>
                <w:rFonts w:ascii="Times New Roman" w:hAnsi="Times New Roman"/>
                <w:sz w:val="22"/>
              </w:rPr>
              <w:t>3.000–5.500 EUR</w:t>
            </w:r>
          </w:p>
        </w:tc>
        <w:tc>
          <w:tcPr>
            <w:tcW w:type="dxa" w:w="1927"/>
          </w:tcPr>
          <w:p>
            <w:pPr>
              <w:spacing w:before="0" w:after="0"/>
              <w:ind w:firstLine="0"/>
              <w:jc w:val="left"/>
            </w:pPr>
            <w:r>
              <w:rPr>
                <w:rFonts w:ascii="Times New Roman" w:hAnsi="Times New Roman"/>
                <w:sz w:val="22"/>
              </w:rPr>
              <w:t>Lemn FSC/bambus + 4–8 panouri PVT 250Wp; LED solar</w:t>
            </w:r>
          </w:p>
        </w:tc>
      </w:tr>
      <w:tr>
        <w:tc>
          <w:tcPr>
            <w:tcW w:type="dxa" w:w="1927"/>
          </w:tcPr>
          <w:p>
            <w:pPr>
              <w:spacing w:before="0" w:after="0"/>
              <w:ind w:firstLine="0"/>
              <w:jc w:val="left"/>
            </w:pPr>
            <w:r>
              <w:rPr>
                <w:rFonts w:ascii="Times New Roman" w:hAnsi="Times New Roman"/>
                <w:sz w:val="22"/>
              </w:rPr>
              <w:t>Structură open-air (cadru ISO 668 fără pereți)</w:t>
            </w:r>
          </w:p>
        </w:tc>
        <w:tc>
          <w:tcPr>
            <w:tcW w:type="dxa" w:w="1927"/>
          </w:tcPr>
          <w:p>
            <w:pPr>
              <w:spacing w:before="0" w:after="0"/>
              <w:ind w:firstLine="0"/>
              <w:jc w:val="left"/>
            </w:pPr>
            <w:r>
              <w:rPr>
                <w:rFonts w:ascii="Times New Roman" w:hAnsi="Times New Roman"/>
                <w:sz w:val="22"/>
              </w:rPr>
              <w:t>2.500–4.000 EUR</w:t>
            </w:r>
          </w:p>
        </w:tc>
        <w:tc>
          <w:tcPr>
            <w:tcW w:type="dxa" w:w="1927"/>
          </w:tcPr>
          <w:p>
            <w:pPr>
              <w:spacing w:before="0" w:after="0"/>
              <w:ind w:firstLine="0"/>
              <w:jc w:val="left"/>
            </w:pPr>
            <w:r>
              <w:rPr>
                <w:rFonts w:ascii="Times New Roman" w:hAnsi="Times New Roman"/>
                <w:sz w:val="22"/>
              </w:rPr>
              <w:t>2.000–3.000 EUR</w:t>
            </w:r>
          </w:p>
        </w:tc>
        <w:tc>
          <w:tcPr>
            <w:tcW w:type="dxa" w:w="1927"/>
          </w:tcPr>
          <w:p>
            <w:pPr>
              <w:spacing w:before="0" w:after="0"/>
              <w:ind w:firstLine="0"/>
              <w:jc w:val="left"/>
            </w:pPr>
            <w:r>
              <w:rPr>
                <w:rFonts w:ascii="Times New Roman" w:hAnsi="Times New Roman"/>
                <w:sz w:val="22"/>
              </w:rPr>
              <w:t>Cadru oțel reciclat; podea piatră/lemn; drenaj integrat</w:t>
            </w:r>
          </w:p>
        </w:tc>
      </w:tr>
      <w:tr>
        <w:tc>
          <w:tcPr>
            <w:tcW w:type="dxa" w:w="1927"/>
          </w:tcPr>
          <w:p>
            <w:pPr>
              <w:spacing w:before="0" w:after="0"/>
              <w:ind w:firstLine="0"/>
              <w:jc w:val="left"/>
            </w:pPr>
            <w:r>
              <w:rPr>
                <w:rFonts w:ascii="Times New Roman" w:hAnsi="Times New Roman"/>
                <w:sz w:val="22"/>
              </w:rPr>
              <w:t>Sisteme digitale (IoT, display, software EMS)</w:t>
            </w:r>
          </w:p>
        </w:tc>
        <w:tc>
          <w:tcPr>
            <w:tcW w:type="dxa" w:w="1927"/>
          </w:tcPr>
          <w:p>
            <w:pPr>
              <w:spacing w:before="0" w:after="0"/>
              <w:ind w:firstLine="0"/>
              <w:jc w:val="left"/>
            </w:pPr>
            <w:r>
              <w:rPr>
                <w:rFonts w:ascii="Times New Roman" w:hAnsi="Times New Roman"/>
                <w:sz w:val="22"/>
              </w:rPr>
              <w:t>2.000–3.500 EUR</w:t>
            </w:r>
          </w:p>
        </w:tc>
        <w:tc>
          <w:tcPr>
            <w:tcW w:type="dxa" w:w="1927"/>
          </w:tcPr>
          <w:p>
            <w:pPr>
              <w:spacing w:before="0" w:after="0"/>
              <w:ind w:firstLine="0"/>
              <w:jc w:val="left"/>
            </w:pPr>
            <w:r>
              <w:rPr>
                <w:rFonts w:ascii="Times New Roman" w:hAnsi="Times New Roman"/>
                <w:sz w:val="22"/>
              </w:rPr>
              <w:t>1.500–2.500 EUR</w:t>
            </w:r>
          </w:p>
        </w:tc>
        <w:tc>
          <w:tcPr>
            <w:tcW w:type="dxa" w:w="1927"/>
          </w:tcPr>
          <w:p>
            <w:pPr>
              <w:spacing w:before="0" w:after="0"/>
              <w:ind w:firstLine="0"/>
              <w:jc w:val="left"/>
            </w:pPr>
            <w:r>
              <w:rPr>
                <w:rFonts w:ascii="Times New Roman" w:hAnsi="Times New Roman"/>
                <w:sz w:val="22"/>
              </w:rPr>
              <w:t>ESP32, display LED, licență Cloud S2E; MQTT/Modbus</w:t>
            </w:r>
          </w:p>
        </w:tc>
      </w:tr>
      <w:tr>
        <w:tc>
          <w:tcPr>
            <w:tcW w:type="dxa" w:w="1927"/>
          </w:tcPr>
          <w:p>
            <w:pPr>
              <w:spacing w:before="0" w:after="0"/>
              <w:ind w:firstLine="0"/>
              <w:jc w:val="left"/>
            </w:pPr>
            <w:r>
              <w:rPr>
                <w:rFonts w:ascii="Times New Roman" w:hAnsi="Times New Roman"/>
                <w:sz w:val="22"/>
              </w:rPr>
              <w:t>TOTAL CAPEX (fără grant)</w:t>
            </w:r>
          </w:p>
        </w:tc>
        <w:tc>
          <w:tcPr>
            <w:tcW w:type="dxa" w:w="1927"/>
          </w:tcPr>
          <w:p>
            <w:pPr>
              <w:spacing w:before="0" w:after="0"/>
              <w:ind w:firstLine="0"/>
              <w:jc w:val="left"/>
            </w:pPr>
            <w:r>
              <w:rPr>
                <w:rFonts w:ascii="Times New Roman" w:hAnsi="Times New Roman"/>
                <w:sz w:val="22"/>
              </w:rPr>
              <w:t>23.000–37.000 EUR</w:t>
            </w:r>
          </w:p>
        </w:tc>
        <w:tc>
          <w:tcPr>
            <w:tcW w:type="dxa" w:w="1927"/>
          </w:tcPr>
          <w:p>
            <w:pPr>
              <w:spacing w:before="0" w:after="0"/>
              <w:ind w:firstLine="0"/>
              <w:jc w:val="left"/>
            </w:pPr>
            <w:r>
              <w:rPr>
                <w:rFonts w:ascii="Times New Roman" w:hAnsi="Times New Roman"/>
                <w:sz w:val="22"/>
              </w:rPr>
              <w:t>17.000–28.000 EUR</w:t>
            </w:r>
          </w:p>
        </w:tc>
        <w:tc>
          <w:tcPr>
            <w:tcW w:type="dxa" w:w="1927"/>
          </w:tcPr>
          <w:p>
            <w:pPr>
              <w:spacing w:before="0" w:after="0"/>
              <w:ind w:firstLine="0"/>
              <w:jc w:val="left"/>
            </w:pPr>
            <w:r>
              <w:rPr>
                <w:rFonts w:ascii="Times New Roman" w:hAnsi="Times New Roman"/>
                <w:sz w:val="22"/>
              </w:rPr>
              <w:t>Per EB-S2E Open-Air complet (10 echipamente + pergolă PVT)</w:t>
            </w:r>
          </w:p>
        </w:tc>
      </w:tr>
      <w:tr>
        <w:tc>
          <w:tcPr>
            <w:tcW w:type="dxa" w:w="1927"/>
          </w:tcPr>
          <w:p>
            <w:pPr>
              <w:spacing w:before="0" w:after="0"/>
              <w:ind w:firstLine="0"/>
              <w:jc w:val="left"/>
            </w:pPr>
            <w:r>
              <w:rPr>
                <w:rFonts w:ascii="Times New Roman" w:hAnsi="Times New Roman"/>
                <w:sz w:val="22"/>
              </w:rPr>
              <w:t>VENITURI ȘI ECONOMII ANUALE (OPEX pozitiv)</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Electricitate produsă (500 loc. × 3.6 kWh/an = 1.800 kWh/an)</w:t>
            </w:r>
          </w:p>
        </w:tc>
        <w:tc>
          <w:tcPr>
            <w:tcW w:type="dxa" w:w="1927"/>
          </w:tcPr>
          <w:p>
            <w:pPr>
              <w:spacing w:before="0" w:after="0"/>
              <w:ind w:firstLine="0"/>
              <w:jc w:val="left"/>
            </w:pPr>
            <w:r>
              <w:rPr>
                <w:rFonts w:ascii="Times New Roman" w:hAnsi="Times New Roman"/>
                <w:sz w:val="22"/>
              </w:rPr>
              <w:t>162–270 EUR/an</w:t>
            </w:r>
          </w:p>
        </w:tc>
        <w:tc>
          <w:tcPr>
            <w:tcW w:type="dxa" w:w="1927"/>
          </w:tcPr>
          <w:p>
            <w:pPr>
              <w:spacing w:before="0" w:after="0"/>
              <w:ind w:firstLine="0"/>
              <w:jc w:val="left"/>
            </w:pPr>
            <w:r>
              <w:rPr>
                <w:rFonts w:ascii="Times New Roman" w:hAnsi="Times New Roman"/>
                <w:sz w:val="22"/>
              </w:rPr>
              <w:t>270–450 EUR/an</w:t>
            </w:r>
          </w:p>
        </w:tc>
        <w:tc>
          <w:tcPr>
            <w:tcW w:type="dxa" w:w="1927"/>
          </w:tcPr>
          <w:p>
            <w:pPr>
              <w:spacing w:before="0" w:after="0"/>
              <w:ind w:firstLine="0"/>
              <w:jc w:val="left"/>
            </w:pPr>
            <w:r>
              <w:rPr>
                <w:rFonts w:ascii="Times New Roman" w:hAnsi="Times New Roman"/>
                <w:sz w:val="22"/>
              </w:rPr>
              <w:t>Preț energie 0.15–0.25 EUR/kWh; livrare net în grid HUB</w:t>
            </w:r>
          </w:p>
        </w:tc>
      </w:tr>
      <w:tr>
        <w:tc>
          <w:tcPr>
            <w:tcW w:type="dxa" w:w="1927"/>
          </w:tcPr>
          <w:p>
            <w:pPr>
              <w:spacing w:before="0" w:after="0"/>
              <w:ind w:firstLine="0"/>
              <w:jc w:val="left"/>
            </w:pPr>
            <w:r>
              <w:rPr>
                <w:rFonts w:ascii="Times New Roman" w:hAnsi="Times New Roman"/>
                <w:sz w:val="22"/>
              </w:rPr>
              <w:t>PVT pergolă (1.500 kWh/an mediu)</w:t>
            </w:r>
          </w:p>
        </w:tc>
        <w:tc>
          <w:tcPr>
            <w:tcW w:type="dxa" w:w="1927"/>
          </w:tcPr>
          <w:p>
            <w:pPr>
              <w:spacing w:before="0" w:after="0"/>
              <w:ind w:firstLine="0"/>
              <w:jc w:val="left"/>
            </w:pPr>
            <w:r>
              <w:rPr>
                <w:rFonts w:ascii="Times New Roman" w:hAnsi="Times New Roman"/>
                <w:sz w:val="22"/>
              </w:rPr>
              <w:t>225–375 EUR/an</w:t>
            </w:r>
          </w:p>
        </w:tc>
        <w:tc>
          <w:tcPr>
            <w:tcW w:type="dxa" w:w="1927"/>
          </w:tcPr>
          <w:p>
            <w:pPr>
              <w:spacing w:before="0" w:after="0"/>
              <w:ind w:firstLine="0"/>
              <w:jc w:val="left"/>
            </w:pPr>
            <w:r>
              <w:rPr>
                <w:rFonts w:ascii="Times New Roman" w:hAnsi="Times New Roman"/>
                <w:sz w:val="22"/>
              </w:rPr>
              <w:t>375–600 EUR/an</w:t>
            </w:r>
          </w:p>
        </w:tc>
        <w:tc>
          <w:tcPr>
            <w:tcW w:type="dxa" w:w="1927"/>
          </w:tcPr>
          <w:p>
            <w:pPr>
              <w:spacing w:before="0" w:after="0"/>
              <w:ind w:firstLine="0"/>
              <w:jc w:val="left"/>
            </w:pPr>
            <w:r>
              <w:rPr>
                <w:rFonts w:ascii="Times New Roman" w:hAnsi="Times New Roman"/>
                <w:sz w:val="22"/>
              </w:rPr>
              <w:t>1.500 kWh × 0.15–0.25 EUR/kWh; venituri prosumator</w:t>
            </w:r>
          </w:p>
        </w:tc>
      </w:tr>
      <w:tr>
        <w:tc>
          <w:tcPr>
            <w:tcW w:type="dxa" w:w="1927"/>
          </w:tcPr>
          <w:p>
            <w:pPr>
              <w:spacing w:before="0" w:after="0"/>
              <w:ind w:firstLine="0"/>
              <w:jc w:val="left"/>
            </w:pPr>
            <w:r>
              <w:rPr>
                <w:rFonts w:ascii="Times New Roman" w:hAnsi="Times New Roman"/>
                <w:sz w:val="22"/>
              </w:rPr>
              <w:t>Certificare carbon – emisii evitate (1.800+1.500 kWh)</w:t>
            </w:r>
          </w:p>
        </w:tc>
        <w:tc>
          <w:tcPr>
            <w:tcW w:type="dxa" w:w="1927"/>
          </w:tcPr>
          <w:p>
            <w:pPr>
              <w:spacing w:before="0" w:after="0"/>
              <w:ind w:firstLine="0"/>
              <w:jc w:val="left"/>
            </w:pPr>
            <w:r>
              <w:rPr>
                <w:rFonts w:ascii="Times New Roman" w:hAnsi="Times New Roman"/>
                <w:sz w:val="22"/>
              </w:rPr>
              <w:t>49–82 EUR/an</w:t>
            </w:r>
          </w:p>
        </w:tc>
        <w:tc>
          <w:tcPr>
            <w:tcW w:type="dxa" w:w="1927"/>
          </w:tcPr>
          <w:p>
            <w:pPr>
              <w:spacing w:before="0" w:after="0"/>
              <w:ind w:firstLine="0"/>
              <w:jc w:val="left"/>
            </w:pPr>
            <w:r>
              <w:rPr>
                <w:rFonts w:ascii="Times New Roman" w:hAnsi="Times New Roman"/>
                <w:sz w:val="22"/>
              </w:rPr>
              <w:t>82–165 EUR/an</w:t>
            </w:r>
          </w:p>
        </w:tc>
        <w:tc>
          <w:tcPr>
            <w:tcW w:type="dxa" w:w="1927"/>
          </w:tcPr>
          <w:p>
            <w:pPr>
              <w:spacing w:before="0" w:after="0"/>
              <w:ind w:firstLine="0"/>
              <w:jc w:val="left"/>
            </w:pPr>
            <w:r>
              <w:rPr>
                <w:rFonts w:ascii="Times New Roman" w:hAnsi="Times New Roman"/>
                <w:sz w:val="22"/>
              </w:rPr>
              <w:t>3.300 kWh × 0.15 kgCO₂/kWh × 100–250 EUR/tCO₂</w:t>
            </w:r>
          </w:p>
        </w:tc>
      </w:tr>
      <w:tr>
        <w:tc>
          <w:tcPr>
            <w:tcW w:type="dxa" w:w="1927"/>
          </w:tcPr>
          <w:p>
            <w:pPr>
              <w:spacing w:before="0" w:after="0"/>
              <w:ind w:firstLine="0"/>
              <w:jc w:val="left"/>
            </w:pPr>
            <w:r>
              <w:rPr>
                <w:rFonts w:ascii="Times New Roman" w:hAnsi="Times New Roman"/>
                <w:sz w:val="22"/>
              </w:rPr>
              <w:t>Tokeni S2E (valoare servicii/reduceri energie)</w:t>
            </w:r>
          </w:p>
        </w:tc>
        <w:tc>
          <w:tcPr>
            <w:tcW w:type="dxa" w:w="1927"/>
          </w:tcPr>
          <w:p>
            <w:pPr>
              <w:spacing w:before="0" w:after="0"/>
              <w:ind w:firstLine="0"/>
              <w:jc w:val="left"/>
            </w:pPr>
            <w:r>
              <w:rPr>
                <w:rFonts w:ascii="Times New Roman" w:hAnsi="Times New Roman"/>
                <w:sz w:val="22"/>
              </w:rPr>
              <w:t>200–500 EUR/an</w:t>
            </w:r>
          </w:p>
        </w:tc>
        <w:tc>
          <w:tcPr>
            <w:tcW w:type="dxa" w:w="1927"/>
          </w:tcPr>
          <w:p>
            <w:pPr>
              <w:spacing w:before="0" w:after="0"/>
              <w:ind w:firstLine="0"/>
              <w:jc w:val="left"/>
            </w:pPr>
            <w:r>
              <w:rPr>
                <w:rFonts w:ascii="Times New Roman" w:hAnsi="Times New Roman"/>
                <w:sz w:val="22"/>
              </w:rPr>
              <w:t>500–1.000 EUR/an</w:t>
            </w:r>
          </w:p>
        </w:tc>
        <w:tc>
          <w:tcPr>
            <w:tcW w:type="dxa" w:w="1927"/>
          </w:tcPr>
          <w:p>
            <w:pPr>
              <w:spacing w:before="0" w:after="0"/>
              <w:ind w:firstLine="0"/>
              <w:jc w:val="left"/>
            </w:pPr>
            <w:r>
              <w:rPr>
                <w:rFonts w:ascii="Times New Roman" w:hAnsi="Times New Roman"/>
                <w:sz w:val="22"/>
              </w:rPr>
              <w:t>Stimulare participare; valoare indirectă în facturi membre</w:t>
            </w:r>
          </w:p>
        </w:tc>
      </w:tr>
      <w:tr>
        <w:tc>
          <w:tcPr>
            <w:tcW w:type="dxa" w:w="1927"/>
          </w:tcPr>
          <w:p>
            <w:pPr>
              <w:spacing w:before="0" w:after="0"/>
              <w:ind w:firstLine="0"/>
              <w:jc w:val="left"/>
            </w:pPr>
            <w:r>
              <w:rPr>
                <w:rFonts w:ascii="Times New Roman" w:hAnsi="Times New Roman"/>
                <w:sz w:val="22"/>
              </w:rPr>
              <w:t>Captare CO₂ vegetație pergolă (15m² × 2kg/m²/an)</w:t>
            </w:r>
          </w:p>
        </w:tc>
        <w:tc>
          <w:tcPr>
            <w:tcW w:type="dxa" w:w="1927"/>
          </w:tcPr>
          <w:p>
            <w:pPr>
              <w:spacing w:before="0" w:after="0"/>
              <w:ind w:firstLine="0"/>
              <w:jc w:val="left"/>
            </w:pPr>
            <w:r>
              <w:rPr>
                <w:rFonts w:ascii="Times New Roman" w:hAnsi="Times New Roman"/>
                <w:sz w:val="22"/>
              </w:rPr>
              <w:t>6–19 EUR/an</w:t>
            </w:r>
          </w:p>
        </w:tc>
        <w:tc>
          <w:tcPr>
            <w:tcW w:type="dxa" w:w="1927"/>
          </w:tcPr>
          <w:p>
            <w:pPr>
              <w:spacing w:before="0" w:after="0"/>
              <w:ind w:firstLine="0"/>
              <w:jc w:val="left"/>
            </w:pPr>
            <w:r>
              <w:rPr>
                <w:rFonts w:ascii="Times New Roman" w:hAnsi="Times New Roman"/>
                <w:sz w:val="22"/>
              </w:rPr>
              <w:t>19–37 EUR/an</w:t>
            </w:r>
          </w:p>
        </w:tc>
        <w:tc>
          <w:tcPr>
            <w:tcW w:type="dxa" w:w="1927"/>
          </w:tcPr>
          <w:p>
            <w:pPr>
              <w:spacing w:before="0" w:after="0"/>
              <w:ind w:firstLine="0"/>
              <w:jc w:val="left"/>
            </w:pPr>
            <w:r>
              <w:rPr>
                <w:rFonts w:ascii="Times New Roman" w:hAnsi="Times New Roman"/>
                <w:sz w:val="22"/>
              </w:rPr>
              <w:t>30 kgCO₂/an × 0.2–0.5 EUR/kgCO₂ (piața voluntară)</w:t>
            </w:r>
          </w:p>
        </w:tc>
      </w:tr>
      <w:tr>
        <w:tc>
          <w:tcPr>
            <w:tcW w:type="dxa" w:w="1927"/>
          </w:tcPr>
          <w:p>
            <w:pPr>
              <w:spacing w:before="0" w:after="0"/>
              <w:ind w:firstLine="0"/>
              <w:jc w:val="left"/>
            </w:pPr>
            <w:r>
              <w:rPr>
                <w:rFonts w:ascii="Times New Roman" w:hAnsi="Times New Roman"/>
                <w:sz w:val="22"/>
              </w:rPr>
              <w:t>Economii OPEX (fără pereți; mentenanță redusă)</w:t>
            </w:r>
          </w:p>
        </w:tc>
        <w:tc>
          <w:tcPr>
            <w:tcW w:type="dxa" w:w="1927"/>
          </w:tcPr>
          <w:p>
            <w:pPr>
              <w:spacing w:before="0" w:after="0"/>
              <w:ind w:firstLine="0"/>
              <w:jc w:val="left"/>
            </w:pPr>
            <w:r>
              <w:rPr>
                <w:rFonts w:ascii="Times New Roman" w:hAnsi="Times New Roman"/>
                <w:sz w:val="22"/>
              </w:rPr>
              <w:t>300–600 EUR/an</w:t>
            </w:r>
          </w:p>
        </w:tc>
        <w:tc>
          <w:tcPr>
            <w:tcW w:type="dxa" w:w="1927"/>
          </w:tcPr>
          <w:p>
            <w:pPr>
              <w:spacing w:before="0" w:after="0"/>
              <w:ind w:firstLine="0"/>
              <w:jc w:val="left"/>
            </w:pPr>
            <w:r>
              <w:rPr>
                <w:rFonts w:ascii="Times New Roman" w:hAnsi="Times New Roman"/>
                <w:sz w:val="22"/>
              </w:rPr>
              <w:t>600–900 EUR/an</w:t>
            </w:r>
          </w:p>
        </w:tc>
        <w:tc>
          <w:tcPr>
            <w:tcW w:type="dxa" w:w="1927"/>
          </w:tcPr>
          <w:p>
            <w:pPr>
              <w:spacing w:before="0" w:after="0"/>
              <w:ind w:firstLine="0"/>
              <w:jc w:val="left"/>
            </w:pPr>
            <w:r>
              <w:rPr>
                <w:rFonts w:ascii="Times New Roman" w:hAnsi="Times New Roman"/>
                <w:sz w:val="22"/>
              </w:rPr>
              <w:t>Față de Box închis standard; curățare, supraveghere simplificat</w:t>
            </w:r>
          </w:p>
        </w:tc>
      </w:tr>
      <w:tr>
        <w:tc>
          <w:tcPr>
            <w:tcW w:type="dxa" w:w="1927"/>
          </w:tcPr>
          <w:p>
            <w:pPr>
              <w:spacing w:before="0" w:after="0"/>
              <w:ind w:firstLine="0"/>
              <w:jc w:val="left"/>
            </w:pPr>
            <w:r>
              <w:rPr>
                <w:rFonts w:ascii="Times New Roman" w:hAnsi="Times New Roman"/>
                <w:sz w:val="22"/>
              </w:rPr>
              <w:t>TOTAL VENITURI + ECONOMII ANUALE</w:t>
            </w:r>
          </w:p>
        </w:tc>
        <w:tc>
          <w:tcPr>
            <w:tcW w:type="dxa" w:w="1927"/>
          </w:tcPr>
          <w:p>
            <w:pPr>
              <w:spacing w:before="0" w:after="0"/>
              <w:ind w:firstLine="0"/>
              <w:jc w:val="left"/>
            </w:pPr>
            <w:r>
              <w:rPr>
                <w:rFonts w:ascii="Times New Roman" w:hAnsi="Times New Roman"/>
                <w:sz w:val="22"/>
              </w:rPr>
              <w:t>942–1.846 EUR/an</w:t>
            </w:r>
          </w:p>
        </w:tc>
        <w:tc>
          <w:tcPr>
            <w:tcW w:type="dxa" w:w="1927"/>
          </w:tcPr>
          <w:p>
            <w:pPr>
              <w:spacing w:before="0" w:after="0"/>
              <w:ind w:firstLine="0"/>
              <w:jc w:val="left"/>
            </w:pPr>
            <w:r>
              <w:rPr>
                <w:rFonts w:ascii="Times New Roman" w:hAnsi="Times New Roman"/>
                <w:sz w:val="22"/>
              </w:rPr>
              <w:t>1.846–3.152 EUR/an</w:t>
            </w:r>
          </w:p>
        </w:tc>
        <w:tc>
          <w:tcPr>
            <w:tcW w:type="dxa" w:w="1927"/>
          </w:tcPr>
          <w:p>
            <w:pPr>
              <w:spacing w:before="0" w:after="0"/>
              <w:ind w:firstLine="0"/>
              <w:jc w:val="left"/>
            </w:pPr>
            <w:r>
              <w:rPr>
                <w:rFonts w:ascii="Times New Roman" w:hAnsi="Times New Roman"/>
                <w:sz w:val="22"/>
              </w:rPr>
              <w:t>Scenariu de bază: ~1.400 EUR/an; optimist: ~2.500 EUR/an</w:t>
            </w:r>
          </w:p>
        </w:tc>
      </w:tr>
      <w:tr>
        <w:tc>
          <w:tcPr>
            <w:tcW w:type="dxa" w:w="1927"/>
          </w:tcPr>
          <w:p>
            <w:pPr>
              <w:spacing w:before="0" w:after="0"/>
              <w:ind w:firstLine="0"/>
              <w:jc w:val="left"/>
            </w:pPr>
            <w:r>
              <w:rPr>
                <w:rFonts w:ascii="Times New Roman" w:hAnsi="Times New Roman"/>
                <w:sz w:val="22"/>
              </w:rPr>
              <w:t>INDICATORI FINANCIARI SINTETICI</w:t>
            </w:r>
          </w:p>
        </w:tc>
        <w:tc>
          <w:tcPr>
            <w:tcW w:type="dxa" w:w="1927"/>
          </w:tcPr>
          <w:p/>
        </w:tc>
        <w:tc>
          <w:tcPr>
            <w:tcW w:type="dxa" w:w="1927"/>
          </w:tcPr>
          <w:p/>
        </w:tc>
        <w:tc>
          <w:tcPr>
            <w:tcW w:type="dxa" w:w="1927"/>
          </w:tcPr>
          <w:p/>
        </w:tc>
      </w:tr>
      <w:tr>
        <w:tc>
          <w:tcPr>
            <w:tcW w:type="dxa" w:w="1927"/>
          </w:tcPr>
          <w:p>
            <w:pPr>
              <w:spacing w:before="0" w:after="0"/>
              <w:ind w:firstLine="0"/>
              <w:jc w:val="left"/>
            </w:pPr>
            <w:r>
              <w:rPr>
                <w:rFonts w:ascii="Times New Roman" w:hAnsi="Times New Roman"/>
                <w:sz w:val="22"/>
              </w:rPr>
              <w:t>Payback simplu (fără grant)</w:t>
            </w:r>
          </w:p>
        </w:tc>
        <w:tc>
          <w:tcPr>
            <w:tcW w:type="dxa" w:w="1927"/>
          </w:tcPr>
          <w:p>
            <w:pPr>
              <w:spacing w:before="0" w:after="0"/>
              <w:ind w:firstLine="0"/>
              <w:jc w:val="left"/>
            </w:pPr>
            <w:r>
              <w:rPr>
                <w:rFonts w:ascii="Times New Roman" w:hAnsi="Times New Roman"/>
                <w:sz w:val="22"/>
              </w:rPr>
              <w:t>17–26 ani</w:t>
            </w:r>
          </w:p>
        </w:tc>
        <w:tc>
          <w:tcPr>
            <w:tcW w:type="dxa" w:w="1927"/>
          </w:tcPr>
          <w:p>
            <w:pPr>
              <w:spacing w:before="0" w:after="0"/>
              <w:ind w:firstLine="0"/>
              <w:jc w:val="left"/>
            </w:pPr>
            <w:r>
              <w:rPr>
                <w:rFonts w:ascii="Times New Roman" w:hAnsi="Times New Roman"/>
                <w:sz w:val="22"/>
              </w:rPr>
              <w:t>9–15 ani</w:t>
            </w:r>
          </w:p>
        </w:tc>
        <w:tc>
          <w:tcPr>
            <w:tcW w:type="dxa" w:w="1927"/>
          </w:tcPr>
          <w:p>
            <w:pPr>
              <w:spacing w:before="0" w:after="0"/>
              <w:ind w:firstLine="0"/>
              <w:jc w:val="left"/>
            </w:pPr>
            <w:r>
              <w:rPr>
                <w:rFonts w:ascii="Times New Roman" w:hAnsi="Times New Roman"/>
                <w:sz w:val="22"/>
              </w:rPr>
              <w:t>Calculat: CAPEX / Venituri anuale</w:t>
            </w:r>
          </w:p>
        </w:tc>
      </w:tr>
      <w:tr>
        <w:tc>
          <w:tcPr>
            <w:tcW w:type="dxa" w:w="1927"/>
          </w:tcPr>
          <w:p>
            <w:pPr>
              <w:spacing w:before="0" w:after="0"/>
              <w:ind w:firstLine="0"/>
              <w:jc w:val="left"/>
            </w:pPr>
            <w:r>
              <w:rPr>
                <w:rFonts w:ascii="Times New Roman" w:hAnsi="Times New Roman"/>
                <w:sz w:val="22"/>
              </w:rPr>
              <w:t>Payback cu grant 50% (PNRR/AFM)</w:t>
            </w:r>
          </w:p>
        </w:tc>
        <w:tc>
          <w:tcPr>
            <w:tcW w:type="dxa" w:w="1927"/>
          </w:tcPr>
          <w:p>
            <w:pPr>
              <w:spacing w:before="0" w:after="0"/>
              <w:ind w:firstLine="0"/>
              <w:jc w:val="left"/>
            </w:pPr>
            <w:r>
              <w:rPr>
                <w:rFonts w:ascii="Times New Roman" w:hAnsi="Times New Roman"/>
                <w:sz w:val="22"/>
              </w:rPr>
              <w:t>8–13 ani</w:t>
            </w:r>
          </w:p>
        </w:tc>
        <w:tc>
          <w:tcPr>
            <w:tcW w:type="dxa" w:w="1927"/>
          </w:tcPr>
          <w:p>
            <w:pPr>
              <w:spacing w:before="0" w:after="0"/>
              <w:ind w:firstLine="0"/>
              <w:jc w:val="left"/>
            </w:pPr>
            <w:r>
              <w:rPr>
                <w:rFonts w:ascii="Times New Roman" w:hAnsi="Times New Roman"/>
                <w:sz w:val="22"/>
              </w:rPr>
              <w:t>4–7 ani</w:t>
            </w:r>
          </w:p>
        </w:tc>
        <w:tc>
          <w:tcPr>
            <w:tcW w:type="dxa" w:w="1927"/>
          </w:tcPr>
          <w:p>
            <w:pPr>
              <w:spacing w:before="0" w:after="0"/>
              <w:ind w:firstLine="0"/>
              <w:jc w:val="left"/>
            </w:pPr>
            <w:r>
              <w:rPr>
                <w:rFonts w:ascii="Times New Roman" w:hAnsi="Times New Roman"/>
                <w:sz w:val="22"/>
              </w:rPr>
              <w:t>CAPEX net 50% × / Venituri anuale</w:t>
            </w:r>
          </w:p>
        </w:tc>
      </w:tr>
      <w:tr>
        <w:tc>
          <w:tcPr>
            <w:tcW w:type="dxa" w:w="1927"/>
          </w:tcPr>
          <w:p>
            <w:pPr>
              <w:spacing w:before="0" w:after="0"/>
              <w:ind w:firstLine="0"/>
              <w:jc w:val="left"/>
            </w:pPr>
            <w:r>
              <w:rPr>
                <w:rFonts w:ascii="Times New Roman" w:hAnsi="Times New Roman"/>
                <w:sz w:val="22"/>
              </w:rPr>
              <w:t>IRR (rata internă de rentabilitate)</w:t>
            </w:r>
          </w:p>
        </w:tc>
        <w:tc>
          <w:tcPr>
            <w:tcW w:type="dxa" w:w="1927"/>
          </w:tcPr>
          <w:p>
            <w:pPr>
              <w:spacing w:before="0" w:after="0"/>
              <w:ind w:firstLine="0"/>
              <w:jc w:val="left"/>
            </w:pPr>
            <w:r>
              <w:rPr>
                <w:rFonts w:ascii="Times New Roman" w:hAnsi="Times New Roman"/>
                <w:sz w:val="22"/>
              </w:rPr>
              <w:t>3–6%</w:t>
            </w:r>
          </w:p>
        </w:tc>
        <w:tc>
          <w:tcPr>
            <w:tcW w:type="dxa" w:w="1927"/>
          </w:tcPr>
          <w:p>
            <w:pPr>
              <w:spacing w:before="0" w:after="0"/>
              <w:ind w:firstLine="0"/>
              <w:jc w:val="left"/>
            </w:pPr>
            <w:r>
              <w:rPr>
                <w:rFonts w:ascii="Times New Roman" w:hAnsi="Times New Roman"/>
                <w:sz w:val="22"/>
              </w:rPr>
              <w:t>8–14%</w:t>
            </w:r>
          </w:p>
        </w:tc>
        <w:tc>
          <w:tcPr>
            <w:tcW w:type="dxa" w:w="1927"/>
          </w:tcPr>
          <w:p>
            <w:pPr>
              <w:spacing w:before="0" w:after="0"/>
              <w:ind w:firstLine="0"/>
              <w:jc w:val="left"/>
            </w:pPr>
            <w:r>
              <w:rPr>
                <w:rFonts w:ascii="Times New Roman" w:hAnsi="Times New Roman"/>
                <w:sz w:val="22"/>
              </w:rPr>
              <w:t>Calcul NPV pe 20 ani, rată actualizare 5%</w:t>
            </w:r>
          </w:p>
        </w:tc>
      </w:tr>
      <w:tr>
        <w:tc>
          <w:tcPr>
            <w:tcW w:type="dxa" w:w="1927"/>
          </w:tcPr>
          <w:p>
            <w:pPr>
              <w:spacing w:before="0" w:after="0"/>
              <w:ind w:firstLine="0"/>
              <w:jc w:val="left"/>
            </w:pPr>
            <w:r>
              <w:rPr>
                <w:rFonts w:ascii="Times New Roman" w:hAnsi="Times New Roman"/>
                <w:sz w:val="22"/>
              </w:rPr>
              <w:t>Cost LCOE S2E (15 ani, CAPEX total)</w:t>
            </w:r>
          </w:p>
        </w:tc>
        <w:tc>
          <w:tcPr>
            <w:tcW w:type="dxa" w:w="1927"/>
          </w:tcPr>
          <w:p>
            <w:pPr>
              <w:spacing w:before="0" w:after="0"/>
              <w:ind w:firstLine="0"/>
              <w:jc w:val="left"/>
            </w:pPr>
            <w:r>
              <w:rPr>
                <w:rFonts w:ascii="Times New Roman" w:hAnsi="Times New Roman"/>
                <w:sz w:val="22"/>
              </w:rPr>
              <w:t>0.48–0.87 EUR/kWh</w:t>
            </w:r>
          </w:p>
        </w:tc>
        <w:tc>
          <w:tcPr>
            <w:tcW w:type="dxa" w:w="1927"/>
          </w:tcPr>
          <w:p>
            <w:pPr>
              <w:spacing w:before="0" w:after="0"/>
              <w:ind w:firstLine="0"/>
              <w:jc w:val="left"/>
            </w:pPr>
            <w:r>
              <w:rPr>
                <w:rFonts w:ascii="Times New Roman" w:hAnsi="Times New Roman"/>
                <w:sz w:val="22"/>
              </w:rPr>
              <w:t>0.28–0.52 EUR/kWh</w:t>
            </w:r>
          </w:p>
        </w:tc>
        <w:tc>
          <w:tcPr>
            <w:tcW w:type="dxa" w:w="1927"/>
          </w:tcPr>
          <w:p>
            <w:pPr>
              <w:spacing w:before="0" w:after="0"/>
              <w:ind w:firstLine="0"/>
              <w:jc w:val="left"/>
            </w:pPr>
            <w:r>
              <w:rPr>
                <w:rFonts w:ascii="Times New Roman" w:hAnsi="Times New Roman"/>
                <w:sz w:val="22"/>
              </w:rPr>
              <w:t>LCOE energetic pur; nu include valoarea socială</w:t>
            </w:r>
          </w:p>
        </w:tc>
      </w:tr>
      <w:tr>
        <w:tc>
          <w:tcPr>
            <w:tcW w:type="dxa" w:w="1927"/>
          </w:tcPr>
          <w:p>
            <w:pPr>
              <w:spacing w:before="0" w:after="0"/>
              <w:ind w:firstLine="0"/>
              <w:jc w:val="left"/>
            </w:pPr>
            <w:r>
              <w:rPr>
                <w:rFonts w:ascii="Times New Roman" w:hAnsi="Times New Roman"/>
                <w:sz w:val="22"/>
              </w:rPr>
              <w:t>Cost per kWh cu grant 50%</w:t>
            </w:r>
          </w:p>
        </w:tc>
        <w:tc>
          <w:tcPr>
            <w:tcW w:type="dxa" w:w="1927"/>
          </w:tcPr>
          <w:p>
            <w:pPr>
              <w:spacing w:before="0" w:after="0"/>
              <w:ind w:firstLine="0"/>
              <w:jc w:val="left"/>
            </w:pPr>
            <w:r>
              <w:rPr>
                <w:rFonts w:ascii="Times New Roman" w:hAnsi="Times New Roman"/>
                <w:sz w:val="22"/>
              </w:rPr>
              <w:t>0.24–0.43 EUR/kWh</w:t>
            </w:r>
          </w:p>
        </w:tc>
        <w:tc>
          <w:tcPr>
            <w:tcW w:type="dxa" w:w="1927"/>
          </w:tcPr>
          <w:p>
            <w:pPr>
              <w:spacing w:before="0" w:after="0"/>
              <w:ind w:firstLine="0"/>
              <w:jc w:val="left"/>
            </w:pPr>
            <w:r>
              <w:rPr>
                <w:rFonts w:ascii="Times New Roman" w:hAnsi="Times New Roman"/>
                <w:sz w:val="22"/>
              </w:rPr>
              <w:t>0.14–0.26 EUR/kWh</w:t>
            </w:r>
          </w:p>
        </w:tc>
        <w:tc>
          <w:tcPr>
            <w:tcW w:type="dxa" w:w="1927"/>
          </w:tcPr>
          <w:p>
            <w:pPr>
              <w:spacing w:before="0" w:after="0"/>
              <w:ind w:firstLine="0"/>
              <w:jc w:val="left"/>
            </w:pPr>
            <w:r>
              <w:rPr>
                <w:rFonts w:ascii="Times New Roman" w:hAnsi="Times New Roman"/>
                <w:sz w:val="22"/>
              </w:rPr>
              <w:t>Competitiv cu tarifele rețea, excluzând beneficii sociale</w:t>
            </w:r>
          </w:p>
        </w:tc>
      </w:tr>
    </w:tbl>
    <w:p>
      <w:pPr>
        <w:ind w:firstLine="0"/>
      </w:pPr>
    </w:p>
    <w:p>
      <w:pPr>
        <w:ind w:firstLine="0"/>
      </w:pPr>
    </w:p>
    <w:p>
      <w:pPr>
        <w:pStyle w:val="SubHeading"/>
        <w:keepNext/>
      </w:pPr>
      <w:r>
        <w:t>7.2 Valoarea socială necuantificată — dincolo de kwh</w:t>
      </w:r>
    </w:p>
    <w:p>
      <w:pPr>
        <w:ind w:firstLine="0"/>
      </w:pPr>
    </w:p>
    <w:p>
      <w:pPr/>
      <w:r>
        <w:t>Analiza economică din Tabelul 7 subestimează sistematic valoarea reală a sistemului S2E, deoarece captează numai beneficiile energetice directe. Valoarea socio-economică reală include beneficii externe dificil de monetizat direct, dar cuantificabile prin metodologii acceptate în literatura de sănătate publică:</w:t>
      </w:r>
    </w:p>
    <w:p>
      <w:pPr>
        <w:pStyle w:val="ListParagraph"/>
        <w:ind w:left="1" w:hanging="1"/>
      </w:pPr>
      <w:r>
        <w:t>• Reducere costuri sănătate publică: OMS estimează că fiecare adult care trece de la sedentar la activ generează economii de ~300–500 EUR/an în costuri medicale directe și indirecte. La 150 participanți activi: 45.000–75.000 EUR/an economii sociale.</w:t>
      </w:r>
    </w:p>
    <w:p>
      <w:pPr>
        <w:pStyle w:val="ListParagraph"/>
        <w:ind w:left="1" w:hanging="1"/>
      </w:pPr>
      <w:r>
        <w:t>• Reducere absenteism și productivitate: activitatea fizică regulată reduce absenteismul cu ~25% și crește productivitatea. Beneficiu economic estimat: 1.000–2.000 EUR/persoană activă/an (RAND Europe 2020).</w:t>
      </w:r>
    </w:p>
    <w:p>
      <w:pPr>
        <w:pStyle w:val="ListParagraph"/>
        <w:ind w:left="1" w:hanging="1"/>
      </w:pPr>
      <w:r>
        <w:t>• Valoarea coeziunii comunitare: socialul generat de spațiul open-air, clasamente și competiții — dificil de monetizat, dar cu impact măsurabil în indicatori de capital social (bonding, bridging).</w:t>
      </w:r>
    </w:p>
    <w:p>
      <w:pPr>
        <w:pStyle w:val="ListParagraph"/>
        <w:ind w:left="1" w:hanging="1"/>
      </w:pPr>
      <w:r>
        <w:t>• Educație energetică pasivă: display-ul pergolei, App-ul și experiența directă a producerii energiei formează o generație de cetățeni conștienți energetic — externalie pozitivă cu valoare pe termen lung.</w:t>
      </w:r>
    </w:p>
    <w:p>
      <w:pPr/>
      <w:r>
        <w:t>Concluzie economică esențială: Payback-ul financiar pur (8–13 ani cu grant 50%) subestimează sever valoarea sistemului S2E. Când se include valoarea socio-economică totală (sănătate, coeziune, educație), beneficiul depășește CAPEX încă din primul an de funcționare. Evaluarea corectă a S2E necesită metodologia Cost-Benefit Analysis cu includerea SROI (Social Return on Investment) — estimat la 3.5–6.0 EUR social generat per 1 EUR investit.</w:t>
      </w:r>
    </w:p>
    <w:p>
      <w:pPr>
        <w:ind w:firstLine="0"/>
      </w:pPr>
    </w:p>
    <w:p>
      <w:pPr>
        <w:pStyle w:val="ChapterHeading"/>
        <w:keepNext/>
      </w:pPr>
      <w:r>
        <w:t>8. Inovații Brevetabile și Roadmap de Implementare</w:t>
      </w:r>
    </w:p>
    <w:p>
      <w:pPr>
        <w:ind w:firstLine="0"/>
      </w:pPr>
    </w:p>
    <w:p>
      <w:pPr>
        <w:pStyle w:val="SubHeading"/>
        <w:keepNext/>
      </w:pPr>
      <w:r>
        <w:t>8.1 Inovații originale cu potențial de brevetare</w:t>
      </w:r>
    </w:p>
    <w:p>
      <w:pPr>
        <w:ind w:firstLine="0"/>
      </w:pPr>
    </w:p>
    <w:p>
      <w:pPr/>
      <w:r>
        <w:t>Sistemul EB-S2E Open-Air conține șase inovații cu grad ridicat de originalitate, identificate în cadrul analizei de proprietate intelectuală efectuate de EnEx Institute (2025), clasificate conform Regulamentului UE nr. 1257/2012 privind brevetul unitar european:</w:t>
      </w:r>
    </w:p>
    <w:p>
      <w:pPr>
        <w:pStyle w:val="ListParagraph"/>
        <w:ind w:left="1" w:hanging="1"/>
      </w:pPr>
      <w:r>
        <w:t>1. Concept arhitectural integrat EB-S2E Open-Air: combinația specifică Exergy Box fără pereți + pergolă SymbiotyX Pod + lipire structurală Box adiacent + busbar partajat — ca unitate funcțională unică. Noutate: nicio instalație publicată nu combină toți acești parametri simultan.</w:t>
      </w:r>
    </w:p>
    <w:p>
      <w:pPr>
        <w:pStyle w:val="ListParagraph"/>
        <w:ind w:left="1" w:hanging="1"/>
      </w:pPr>
      <w:r>
        <w:t>2. Echipamente de fitness din materiale naturale cu generator integrat: designul specific al cadrului din lemn FSC/bambus cu generator EM sau piezoelectric încapsulat IP65/IP67, proiectat pentru dezasamblare și pașaport de materiale. Noutate față de starea artei: materialele naturale în locul aluminiului/oțelului pentru structura principală.</w:t>
      </w:r>
    </w:p>
    <w:p>
      <w:pPr>
        <w:pStyle w:val="ListParagraph"/>
        <w:ind w:left="1" w:hanging="1"/>
      </w:pPr>
      <w:r>
        <w:t>3. Circuit de colectare piezoelectrică SECE adaptat pentru trafic pietonal discontinu: algoritm de sincronizare SECE calibrat pentru caracteristicile specifice ale frecvenței și amplitudinii pașilor pietonali (0.5–3 Hz, F = 200–1000 N). Noutate: optimizarea spectrală specifică aplicației pietonale vs. soluțiile generale din literatură.</w:t>
      </w:r>
    </w:p>
    <w:p>
      <w:pPr>
        <w:pStyle w:val="ListParagraph"/>
        <w:ind w:left="1" w:hanging="1"/>
      </w:pPr>
      <w:r>
        <w:t>4. Sistem de gamificare triplanat (individual/comunitar/solidaritate) cu tokenizare energetică în timp real pe baza producției confirmate de smart meter: integrarea completă între EMS, Cloud, App și smart meter pentru emisia de tokeni per 50 Wh confirmat — cu arhitectura specifică de trust a tokenilor utilitari.</w:t>
      </w:r>
    </w:p>
    <w:p>
      <w:pPr>
        <w:pStyle w:val="ListParagraph"/>
        <w:ind w:left="1" w:hanging="1"/>
      </w:pPr>
      <w:r>
        <w:t>5. Pergolă PVT SymbiotyX Pod cu funcție simultană de protecție climatică + generare PVT + vegetație + display informațional + iluminat solar: designul specific al lamelelor orientabile cu panouri PVT semi-transparente integrate și sistemul de irigare automată pentru vegetația cățărătoare.</w:t>
      </w:r>
    </w:p>
    <w:p>
      <w:pPr>
        <w:pStyle w:val="ListParagraph"/>
        <w:ind w:left="1" w:hanging="1"/>
      </w:pPr>
      <w:r>
        <w:t>6. Algoritm AssetHealth specific pentru echipamente S2E: detectarea anomaliilor (uzură rulmenți, dezechilibru generator, degradare element piezoelectric) pe baza semnăturii de curent și vibrații, calibrat pentru profilul specific de utilizare intermitentă a echipamentelor fitness.</w:t>
      </w:r>
    </w:p>
    <w:p>
      <w:pPr>
        <w:ind w:firstLine="0"/>
      </w:pPr>
    </w:p>
    <w:p>
      <w:pPr>
        <w:pStyle w:val="SubHeading"/>
        <w:keepNext/>
      </w:pPr>
      <w:r>
        <w:t>8.2 Roadmap de implementare 2026–2030</w:t>
      </w:r>
    </w:p>
    <w:p>
      <w:pPr>
        <w:ind w:firstLine="0"/>
      </w:pPr>
    </w:p>
    <w:p>
      <w:pPr/>
      <w:r>
        <w:t>Implementarea sistemului EB-S2E urmează un roadmap în patru faze, cu puncte de decizie bazate pe KPI-uri validate:</w:t>
      </w:r>
    </w:p>
    <w:p>
      <w:pPr>
        <w:ind w:firstLine="0"/>
      </w:pPr>
    </w:p>
    <w:p>
      <w:pPr>
        <w:pStyle w:val="TableCaption"/>
      </w:pPr>
      <w:r>
        <w:t>Tabel 8. Planificarea fazelor proiectului cu activități și criterii de validare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Fază</w:t>
            </w:r>
          </w:p>
        </w:tc>
        <w:tc>
          <w:tcPr>
            <w:tcW w:type="dxa" w:w="1927"/>
          </w:tcPr>
          <w:p>
            <w:pPr>
              <w:spacing w:before="0" w:after="0"/>
              <w:ind w:firstLine="0"/>
              <w:jc w:val="left"/>
            </w:pPr>
            <w:r>
              <w:rPr>
                <w:rFonts w:ascii="Times New Roman" w:hAnsi="Times New Roman"/>
                <w:b/>
                <w:sz w:val="22"/>
              </w:rPr>
              <w:t>Perioadă</w:t>
            </w:r>
          </w:p>
        </w:tc>
        <w:tc>
          <w:tcPr>
            <w:tcW w:type="dxa" w:w="1927"/>
          </w:tcPr>
          <w:p>
            <w:pPr>
              <w:spacing w:before="0" w:after="0"/>
              <w:ind w:firstLine="0"/>
              <w:jc w:val="left"/>
            </w:pPr>
            <w:r>
              <w:rPr>
                <w:rFonts w:ascii="Times New Roman" w:hAnsi="Times New Roman"/>
                <w:b/>
                <w:sz w:val="22"/>
              </w:rPr>
              <w:t>Activități principale</w:t>
            </w:r>
          </w:p>
        </w:tc>
        <w:tc>
          <w:tcPr>
            <w:tcW w:type="dxa" w:w="1927"/>
          </w:tcPr>
          <w:p>
            <w:pPr>
              <w:spacing w:before="0" w:after="0"/>
              <w:ind w:firstLine="0"/>
              <w:jc w:val="left"/>
            </w:pPr>
            <w:r>
              <w:rPr>
                <w:rFonts w:ascii="Times New Roman" w:hAnsi="Times New Roman"/>
                <w:b/>
                <w:sz w:val="22"/>
              </w:rPr>
              <w:t>Criterii de validare / Deliverabile</w:t>
            </w:r>
          </w:p>
        </w:tc>
      </w:tr>
      <w:tr>
        <w:tc>
          <w:tcPr>
            <w:tcW w:type="dxa" w:w="1927"/>
          </w:tcPr>
          <w:p>
            <w:pPr>
              <w:spacing w:before="0" w:after="0"/>
              <w:ind w:firstLine="0"/>
              <w:jc w:val="left"/>
            </w:pPr>
            <w:r>
              <w:rPr>
                <w:rFonts w:ascii="Times New Roman" w:hAnsi="Times New Roman"/>
                <w:sz w:val="22"/>
              </w:rPr>
              <w:t>F1 — Pilot</w:t>
            </w:r>
          </w:p>
        </w:tc>
        <w:tc>
          <w:tcPr>
            <w:tcW w:type="dxa" w:w="1927"/>
          </w:tcPr>
          <w:p>
            <w:pPr>
              <w:spacing w:before="0" w:after="0"/>
              <w:ind w:firstLine="0"/>
              <w:jc w:val="left"/>
            </w:pPr>
            <w:r>
              <w:rPr>
                <w:rFonts w:ascii="Times New Roman" w:hAnsi="Times New Roman"/>
                <w:sz w:val="22"/>
              </w:rPr>
              <w:t>2026 S2</w:t>
            </w:r>
          </w:p>
        </w:tc>
        <w:tc>
          <w:tcPr>
            <w:tcW w:type="dxa" w:w="1927"/>
          </w:tcPr>
          <w:p>
            <w:pPr>
              <w:spacing w:before="0" w:after="0"/>
              <w:ind w:firstLine="0"/>
              <w:jc w:val="left"/>
            </w:pPr>
            <w:r>
              <w:rPr>
                <w:rFonts w:ascii="Times New Roman" w:hAnsi="Times New Roman"/>
                <w:sz w:val="22"/>
              </w:rPr>
              <w:t>Prototip 1× EB-S2E cu 5 echipamente naturale + pergolă SymbiotyX; comunitate pilot 100–200 membri; monitorizare completă KPI; colectare feedback; calibrare modele matematice vs. realitate</w:t>
            </w:r>
          </w:p>
        </w:tc>
        <w:tc>
          <w:tcPr>
            <w:tcW w:type="dxa" w:w="1927"/>
          </w:tcPr>
          <w:p>
            <w:pPr>
              <w:spacing w:before="0" w:after="0"/>
              <w:ind w:firstLine="0"/>
              <w:jc w:val="left"/>
            </w:pPr>
            <w:r>
              <w:rPr>
                <w:rFonts w:ascii="Times New Roman" w:hAnsi="Times New Roman"/>
                <w:sz w:val="22"/>
              </w:rPr>
              <w:t>KPI-S01 ≥1 kWh/cap/an; KPI-S07 ≥15%; KPI-S14 ≥90%; raport tehnic de validare; publicație științifică pilot</w:t>
            </w:r>
          </w:p>
        </w:tc>
      </w:tr>
      <w:tr>
        <w:tc>
          <w:tcPr>
            <w:tcW w:type="dxa" w:w="1927"/>
          </w:tcPr>
          <w:p>
            <w:pPr>
              <w:spacing w:before="0" w:after="0"/>
              <w:ind w:firstLine="0"/>
              <w:jc w:val="left"/>
            </w:pPr>
            <w:r>
              <w:rPr>
                <w:rFonts w:ascii="Times New Roman" w:hAnsi="Times New Roman"/>
                <w:sz w:val="22"/>
              </w:rPr>
              <w:t>F2 — Dale Piezo</w:t>
            </w:r>
          </w:p>
        </w:tc>
        <w:tc>
          <w:tcPr>
            <w:tcW w:type="dxa" w:w="1927"/>
          </w:tcPr>
          <w:p>
            <w:pPr>
              <w:spacing w:before="0" w:after="0"/>
              <w:ind w:firstLine="0"/>
              <w:jc w:val="left"/>
            </w:pPr>
            <w:r>
              <w:rPr>
                <w:rFonts w:ascii="Times New Roman" w:hAnsi="Times New Roman"/>
                <w:sz w:val="22"/>
              </w:rPr>
              <w:t>2027 S1</w:t>
            </w:r>
          </w:p>
        </w:tc>
        <w:tc>
          <w:tcPr>
            <w:tcW w:type="dxa" w:w="1927"/>
          </w:tcPr>
          <w:p>
            <w:pPr>
              <w:spacing w:before="0" w:after="0"/>
              <w:ind w:firstLine="0"/>
              <w:jc w:val="left"/>
            </w:pPr>
            <w:r>
              <w:rPr>
                <w:rFonts w:ascii="Times New Roman" w:hAnsi="Times New Roman"/>
                <w:sz w:val="22"/>
              </w:rPr>
              <w:t>Instalare dale piezoelectrice 10–20 m² în zonele de trafic intens adiacente Box-ului; calibrare circuit SECE; validare model piezoelectric; extindere la 10 echipamente complete</w:t>
            </w:r>
          </w:p>
        </w:tc>
        <w:tc>
          <w:tcPr>
            <w:tcW w:type="dxa" w:w="1927"/>
          </w:tcPr>
          <w:p>
            <w:pPr>
              <w:spacing w:before="0" w:after="0"/>
              <w:ind w:firstLine="0"/>
              <w:jc w:val="left"/>
            </w:pPr>
            <w:r>
              <w:rPr>
                <w:rFonts w:ascii="Times New Roman" w:hAnsi="Times New Roman"/>
                <w:sz w:val="22"/>
              </w:rPr>
              <w:t>Date reale dale piezo vs. model teoretic (deviație ≤20%); KPI-S06 ≥90% din producție; brevet depus pentru circuit SECE pietonal</w:t>
            </w:r>
          </w:p>
        </w:tc>
      </w:tr>
      <w:tr>
        <w:tc>
          <w:tcPr>
            <w:tcW w:type="dxa" w:w="1927"/>
          </w:tcPr>
          <w:p>
            <w:pPr>
              <w:spacing w:before="0" w:after="0"/>
              <w:ind w:firstLine="0"/>
              <w:jc w:val="left"/>
            </w:pPr>
            <w:r>
              <w:rPr>
                <w:rFonts w:ascii="Times New Roman" w:hAnsi="Times New Roman"/>
                <w:sz w:val="22"/>
              </w:rPr>
              <w:t>F3 — Gamificare</w:t>
            </w:r>
          </w:p>
        </w:tc>
        <w:tc>
          <w:tcPr>
            <w:tcW w:type="dxa" w:w="1927"/>
          </w:tcPr>
          <w:p>
            <w:pPr>
              <w:spacing w:before="0" w:after="0"/>
              <w:ind w:firstLine="0"/>
              <w:jc w:val="left"/>
            </w:pPr>
            <w:r>
              <w:rPr>
                <w:rFonts w:ascii="Times New Roman" w:hAnsi="Times New Roman"/>
                <w:sz w:val="22"/>
              </w:rPr>
              <w:t>2027 S2</w:t>
            </w:r>
          </w:p>
        </w:tc>
        <w:tc>
          <w:tcPr>
            <w:tcW w:type="dxa" w:w="1927"/>
          </w:tcPr>
          <w:p>
            <w:pPr>
              <w:spacing w:before="0" w:after="0"/>
              <w:ind w:firstLine="0"/>
              <w:jc w:val="left"/>
            </w:pPr>
            <w:r>
              <w:rPr>
                <w:rFonts w:ascii="Times New Roman" w:hAnsi="Times New Roman"/>
                <w:sz w:val="22"/>
              </w:rPr>
              <w:t>Lansare completă sistem gamificare 3 niveluri; integrare token S2E în Cloud; display pergolă activ; competiții inter-HUB-uri; campanii SolidarityX tematice</w:t>
            </w:r>
          </w:p>
        </w:tc>
        <w:tc>
          <w:tcPr>
            <w:tcW w:type="dxa" w:w="1927"/>
          </w:tcPr>
          <w:p>
            <w:pPr>
              <w:spacing w:before="0" w:after="0"/>
              <w:ind w:firstLine="0"/>
              <w:jc w:val="left"/>
            </w:pPr>
            <w:r>
              <w:rPr>
                <w:rFonts w:ascii="Times New Roman" w:hAnsi="Times New Roman"/>
                <w:sz w:val="22"/>
              </w:rPr>
              <w:t>KPI-S07 ≥30%; KPI-S09 ≥1 token/part./lună; KPI-S10 ≥5% donații; NPS ≥4.0; publicație impact social</w:t>
            </w:r>
          </w:p>
        </w:tc>
      </w:tr>
      <w:tr>
        <w:tc>
          <w:tcPr>
            <w:tcW w:type="dxa" w:w="1927"/>
          </w:tcPr>
          <w:p>
            <w:pPr>
              <w:spacing w:before="0" w:after="0"/>
              <w:ind w:firstLine="0"/>
              <w:jc w:val="left"/>
            </w:pPr>
            <w:r>
              <w:rPr>
                <w:rFonts w:ascii="Times New Roman" w:hAnsi="Times New Roman"/>
                <w:sz w:val="22"/>
              </w:rPr>
              <w:t>F4 — Scalare</w:t>
            </w:r>
          </w:p>
        </w:tc>
        <w:tc>
          <w:tcPr>
            <w:tcW w:type="dxa" w:w="1927"/>
          </w:tcPr>
          <w:p>
            <w:pPr>
              <w:spacing w:before="0" w:after="0"/>
              <w:ind w:firstLine="0"/>
              <w:jc w:val="left"/>
            </w:pPr>
            <w:r>
              <w:rPr>
                <w:rFonts w:ascii="Times New Roman" w:hAnsi="Times New Roman"/>
                <w:sz w:val="22"/>
              </w:rPr>
              <w:t>2028–2030</w:t>
            </w:r>
          </w:p>
        </w:tc>
        <w:tc>
          <w:tcPr>
            <w:tcW w:type="dxa" w:w="1927"/>
          </w:tcPr>
          <w:p>
            <w:pPr>
              <w:spacing w:before="0" w:after="0"/>
              <w:ind w:firstLine="0"/>
              <w:jc w:val="left"/>
            </w:pPr>
            <w:r>
              <w:rPr>
                <w:rFonts w:ascii="Times New Roman" w:hAnsi="Times New Roman"/>
                <w:sz w:val="22"/>
              </w:rPr>
              <w:t>Replicare EB-S2E în fiecare HUB al rețelei Exergy Metasystem; standardizare catalog echipamente Gen2 (optimizate pe date pilot); brevetare internațională echipamente naturale; licențiere partenerilor EquityX</w:t>
            </w:r>
          </w:p>
        </w:tc>
        <w:tc>
          <w:tcPr>
            <w:tcW w:type="dxa" w:w="1927"/>
          </w:tcPr>
          <w:p>
            <w:pPr>
              <w:spacing w:before="0" w:after="0"/>
              <w:ind w:firstLine="0"/>
              <w:jc w:val="left"/>
            </w:pPr>
            <w:r>
              <w:rPr>
                <w:rFonts w:ascii="Times New Roman" w:hAnsi="Times New Roman"/>
                <w:sz w:val="22"/>
              </w:rPr>
              <w:t>Standard EB-S2E documentat complet; catalog 15 echipamente Gen2; ≥10 instalații active; royalty stream din licențiere &gt; OPEX</w:t>
            </w:r>
          </w:p>
        </w:tc>
      </w:tr>
    </w:tbl>
    <w:p>
      <w:pPr>
        <w:ind w:firstLine="0"/>
      </w:pPr>
    </w:p>
    <w:p>
      <w:pPr>
        <w:ind w:firstLine="0"/>
      </w:pPr>
    </w:p>
    <w:p>
      <w:pPr>
        <w:pStyle w:val="ChapterHeading"/>
        <w:keepNext/>
      </w:pPr>
      <w:r>
        <w:t>9. Concluzii</w:t>
      </w:r>
    </w:p>
    <w:p>
      <w:pPr>
        <w:ind w:firstLine="0"/>
      </w:pPr>
    </w:p>
    <w:p>
      <w:pPr>
        <w:pStyle w:val="SubHeading"/>
        <w:keepNext/>
      </w:pPr>
      <w:r>
        <w:t>9.1 Concluzii principale</w:t>
      </w:r>
    </w:p>
    <w:p>
      <w:pPr>
        <w:ind w:firstLine="0"/>
      </w:pPr>
    </w:p>
    <w:p>
      <w:pPr/>
      <w:r>
        <w:t>Prezenta lucrare a realizat documentarea științifică completă a sistemului Sport-to-Energy (S2E), acoperind pentru prima dată întreg lanțul — de la fizica fundamentală a mecanismelor de conversie până la KPI-urile operaționale și viabilitatea economică în context comunitar.</w:t>
      </w:r>
    </w:p>
    <w:p>
      <w:pPr/>
      <w:r>
        <w:t>Din perspectivă fizică, generatoarele electromagnetice ating eficiențe de conversie de 60–80% (tipic 65–70% în condiții de utilizare realistă), prin exploatarea legii Faraday cu magneti NdFeB de înaltă performanță și circuite MPPT adaptative. Convertoarele piezoelectrice (PZT-5H, BaTiO₃) ating eficiențe de 25–45% pentru captarea energiei de impact pietonal, cu tehnici avansate de colectare SECE/SSHI care cresc puterea extrasă cu 200–400% față de circuitele convenționale.</w:t>
      </w:r>
    </w:p>
    <w:p>
      <w:pPr/>
      <w:r>
        <w:t>Puterea mecanică disponibilă a corpului uman, deși modest cantitativă (35–120 W pentru un utilizator activ), devine semnificativă la scara comunitară: o comunitate de 500 membri cu participare de 30% produce 540 kWh/an din efort uman + 1.500 kWh/an din pergola PVT — suficient pentru iluminatul public al unui sat sau pentru alimentarea completă a infrastructurii digitale a HUB-ului energetic comunitar.</w:t>
      </w:r>
    </w:p>
    <w:p>
      <w:pPr/>
      <w:r>
        <w:t>Cadrul de 25 KPI propus pe 4 axe (energetici, sociali/sănătate, tehnici/operaționali, economici/mediu) oferă un instrument complet și operațional de monitorizare și optimizare, integrabil nativ în platforma DigitAll a Exergy Metasystem fără colectare manuală suplimentară.</w:t>
      </w:r>
    </w:p>
    <w:p>
      <w:pPr/>
      <w:r>
        <w:t>Concluzia economică esențială este că viabilitatea S2E nu poate fi evaluată prin LCOE energetic pur (0.24–0.87 EUR/kWh, sub-competitiv față de sursele principale), ci prin SROI (Social Return on Investment), estimat la 3.5–6.0 EUR social generat per 1 EUR investit — valoare derivată preponderent din beneficiile de sănătate publică, coeziune comunitară și educație energetică.</w:t>
      </w:r>
    </w:p>
    <w:p>
      <w:pPr>
        <w:ind w:firstLine="0"/>
      </w:pPr>
    </w:p>
    <w:p>
      <w:pPr>
        <w:pStyle w:val="SubHeading"/>
        <w:keepNext/>
      </w:pPr>
      <w:r>
        <w:t>9.2 Contribuții originale</w:t>
      </w:r>
    </w:p>
    <w:p>
      <w:pPr>
        <w:ind w:firstLine="0"/>
      </w:pPr>
    </w:p>
    <w:p>
      <w:pPr>
        <w:pStyle w:val="ListParagraph"/>
        <w:ind w:left="1" w:hanging="1"/>
      </w:pPr>
      <w:r>
        <w:t>7. Prima documentare matematică completă a modelelor EM și piezoelectric adaptate specific pentru aplicații Sport-to-Energy cu materiale naturale și integrare comunitară.</w:t>
      </w:r>
    </w:p>
    <w:p>
      <w:pPr>
        <w:pStyle w:val="ListParagraph"/>
        <w:ind w:left="1" w:hanging="1"/>
      </w:pPr>
      <w:r>
        <w:t>8. Cadrul KPI cu 25 indicatori pe 4 axe pentru sisteme S2E integrate în comunități energetice emergente.</w:t>
      </w:r>
    </w:p>
    <w:p>
      <w:pPr>
        <w:pStyle w:val="ListParagraph"/>
        <w:ind w:left="1" w:hanging="1"/>
      </w:pPr>
      <w:r>
        <w:t>9. Arhitectura EB-S2E Open-Air ca concept unitar (Exergy Box fără pereți + pergolă SymbiotyX + Box adiacent) — inovație arhitecturală documentată și candidată la brevetare.</w:t>
      </w:r>
    </w:p>
    <w:p>
      <w:pPr>
        <w:pStyle w:val="ListParagraph"/>
        <w:ind w:left="1" w:hanging="1"/>
      </w:pPr>
      <w:r>
        <w:t>10. Demonstrarea că valoarea principală a S2E este socio-economică (SROI), nu energetică (LCOE), cu implicații pentru politica de finanțare publică a infrastructurii comunitare de fitness cu recuperare energetică.</w:t>
      </w:r>
    </w:p>
    <w:p>
      <w:pPr>
        <w:ind w:firstLine="0"/>
      </w:pPr>
    </w:p>
    <w:p>
      <w:pPr>
        <w:ind w:firstLine="0"/>
      </w:pPr>
    </w:p>
    <w:p>
      <w:pPr>
        <w:pStyle w:val="Title"/>
      </w:pPr>
      <w:r>
        <w:rPr>
          <w:b w:val="0"/>
        </w:rPr>
        <w:t>SPORT-TO-ENERGY: TRANSFORMING HUMAN PHYSICAL EFFORT INTO USEFUL ELECTRICITY THROUGH PIEZOELECTRIC AND ELECTROMAGNETIC CONVERTERS TECHNICAL ARCHITECTURE, KPIS AND INTEGRATION INTO COMMUNITY INFRASTRUCTURE</w:t>
      </w:r>
    </w:p>
    <w:p>
      <w:pPr>
        <w:ind w:firstLine="0"/>
      </w:pPr>
    </w:p>
    <w:p>
      <w:pPr>
        <w:ind w:firstLine="0"/>
      </w:pPr>
    </w:p>
    <w:p>
      <w:pPr>
        <w:pStyle w:val="ChapterHeading"/>
      </w:pPr>
      <w:r>
        <w:t>Abstract</w:t>
      </w:r>
    </w:p>
    <w:p>
      <w:pPr>
        <w:ind w:firstLine="0"/>
      </w:pPr>
    </w:p>
    <w:p>
      <w:pPr/>
      <w:r>
        <w:rPr>
          <w:i/>
        </w:rPr>
        <w:t>The "citizen as energy source" paradigm (Human-as-Energy-Source — HaES) represents one of the most innovative concepts in contemporary community energy systems. Although the mechanical power generated by human physical effort is quantitatively modest (2–5 kWh/capita/year for an active user), the transformative value of this paradigm far exceeds the energy parameters: transforming the citizen from a passive energy consumer into an active and conscious producer redefines the fundamental relationship between humans and community energy infrastructure.</w:t>
      </w:r>
    </w:p>
    <w:p>
      <w:pPr/>
      <w:r>
        <w:rPr>
          <w:i/>
        </w:rPr>
        <w:t>This paper provides a complete characterization of the Sport-to-Energy (S2E) system — integrated within the Exergy Metasystem (EnEx Institute, 2025) — through three complementary perspectives: (1) the physics and mathematics of conversion mechanisms — piezoelectric and electromagnetic — with derivation of power and efficiency models; (2) the technical architecture of the Exergy Box Sport-to-Energy Open-Air (EB-S2E) unit, including equipment made from natural materials, the electrical collection and DC/AC conversion system, the SymbiotyX Pod pergola with PVT panels, and the IoT digital platform; (3) the complete framework of performance indicators (KPIs) across four axes — energy, social/health, technical/operational, and economic/environmental — with calculation methods and engineering action thresholds.</w:t>
      </w:r>
    </w:p>
    <w:p>
      <w:pPr/>
      <w:r>
        <w:rPr>
          <w:i/>
        </w:rPr>
        <w:t>The physical analysis demonstrates that electromagnetic generators achieve conversion efficiencies of 60–80% for active equipment (bicycles, ellipticals, rowing), while piezoelectric converters (floor tiles, steppers) have efficiencies of 25–45%, compensated by the passive nature of energy capture (each step becomes an energy source). The mathematical model of power produced by an EM generator is derived from Faraday's law (ε = –N·dΦ/dt), while the piezoelectric model derives from the constitutive equations of piezoceramic materials (PZT/BaTiO₃). The power profile of a 500-member community with 30% participation produces 900–1,800 kWh/year — sufficient for public lighting in a small village or for powering the electronics of community infrastructure.</w:t>
      </w:r>
    </w:p>
    <w:p>
      <w:pPr/>
      <w:r>
        <w:rPr>
          <w:i/>
        </w:rPr>
        <w:t>The proposed KPIs (25 indicators structured in 4 categories) form an integrated framework for monitoring and optimization, which connects energy performance with social impact, public health, and economic sustainability. The paper argues that the real value of S2E is not the kWh produced, but the ecosystem of systemic benefits: reduction of sedentary lifestyle, energy awareness, community cohesion, and energy democracy — all quantified and continuously monitored through the DigitAll platform.</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Starner, T.</w:t>
      </w:r>
      <w:r>
        <w:rPr>
          <w:rFonts w:ascii="Times New Roman" w:hAnsi="Times New Roman"/>
          <w:i/>
          <w:sz w:val="22"/>
        </w:rPr>
        <w:t xml:space="preserve"> (1996). Human-powered wearable computing.</w:t>
      </w:r>
      <w:r>
        <w:rPr>
          <w:rFonts w:ascii="Times New Roman" w:hAnsi="Times New Roman"/>
          <w:sz w:val="22"/>
        </w:rPr>
        <w:t xml:space="preserve"> IBM Systems Journal, 35(3–4), 618–629.</w:t>
      </w:r>
    </w:p>
    <w:p>
      <w:pPr>
        <w:pStyle w:val="BibliographyEntry"/>
      </w:pPr>
      <w:r>
        <w:rPr>
          <w:rFonts w:ascii="Times New Roman" w:hAnsi="Times New Roman"/>
          <w:b/>
          <w:sz w:val="22"/>
        </w:rPr>
        <w:t>[2] Paradiso, J.A., Starner, T.</w:t>
      </w:r>
      <w:r>
        <w:rPr>
          <w:rFonts w:ascii="Times New Roman" w:hAnsi="Times New Roman"/>
          <w:i/>
          <w:sz w:val="22"/>
        </w:rPr>
        <w:t xml:space="preserve"> (2005). Energy scavenging for mobile and wireless electronics.</w:t>
      </w:r>
      <w:r>
        <w:rPr>
          <w:rFonts w:ascii="Times New Roman" w:hAnsi="Times New Roman"/>
          <w:sz w:val="22"/>
        </w:rPr>
        <w:t xml:space="preserve"> IEEE Pervasive Computing, 4(1), 18–27.</w:t>
      </w:r>
    </w:p>
    <w:p>
      <w:pPr>
        <w:pStyle w:val="BibliographyEntry"/>
      </w:pPr>
      <w:r>
        <w:rPr>
          <w:rFonts w:ascii="Times New Roman" w:hAnsi="Times New Roman"/>
          <w:b/>
          <w:sz w:val="22"/>
        </w:rPr>
        <w:t>[3] Mitcheson, P.D., Yeatman, E.M., Rao, G.K., Holmes, A.S., Green, T.C.</w:t>
      </w:r>
      <w:r>
        <w:rPr>
          <w:rFonts w:ascii="Times New Roman" w:hAnsi="Times New Roman"/>
          <w:i/>
          <w:sz w:val="22"/>
        </w:rPr>
        <w:t xml:space="preserve"> (2008). Energy harvesting from human and machine motion.</w:t>
      </w:r>
      <w:r>
        <w:rPr>
          <w:rFonts w:ascii="Times New Roman" w:hAnsi="Times New Roman"/>
          <w:sz w:val="22"/>
        </w:rPr>
        <w:t xml:space="preserve"> Proceedings of the IEEE, 96(9), 1457–1486.</w:t>
      </w:r>
    </w:p>
    <w:p>
      <w:pPr>
        <w:pStyle w:val="BibliographyEntry"/>
      </w:pPr>
      <w:r>
        <w:rPr>
          <w:rFonts w:ascii="Times New Roman" w:hAnsi="Times New Roman"/>
          <w:b/>
          <w:sz w:val="22"/>
        </w:rPr>
        <w:t>[4] Wang, Z.L., Wu, W.</w:t>
      </w:r>
      <w:r>
        <w:rPr>
          <w:rFonts w:ascii="Times New Roman" w:hAnsi="Times New Roman"/>
          <w:i/>
          <w:sz w:val="22"/>
        </w:rPr>
        <w:t xml:space="preserve"> (2012). Nanotechnology-enabled energy harvesting for self-powered micro-/nanosystems.</w:t>
      </w:r>
      <w:r>
        <w:rPr>
          <w:rFonts w:ascii="Times New Roman" w:hAnsi="Times New Roman"/>
          <w:sz w:val="22"/>
        </w:rPr>
        <w:t xml:space="preserve"> Angewandte Chemie International Edition, 51(47), 11700–11721.</w:t>
      </w:r>
    </w:p>
    <w:p>
      <w:pPr>
        <w:pStyle w:val="BibliographyEntry"/>
      </w:pPr>
      <w:r>
        <w:rPr>
          <w:rFonts w:ascii="Times New Roman" w:hAnsi="Times New Roman"/>
          <w:b/>
          <w:sz w:val="22"/>
        </w:rPr>
        <w:t>[5] Dagdeviren, C., Yang, B.D., Su, Y. et al.</w:t>
      </w:r>
      <w:r>
        <w:rPr>
          <w:rFonts w:ascii="Times New Roman" w:hAnsi="Times New Roman"/>
          <w:i/>
          <w:sz w:val="22"/>
        </w:rPr>
        <w:t xml:space="preserve"> (2014). Conformal piezoelectric energy harvesting and storage from motions of the heart, lung, and diaphragm.</w:t>
      </w:r>
      <w:r>
        <w:rPr>
          <w:rFonts w:ascii="Times New Roman" w:hAnsi="Times New Roman"/>
          <w:sz w:val="22"/>
        </w:rPr>
        <w:t xml:space="preserve"> PNAS, 111(5), 1927–1932.</w:t>
      </w:r>
    </w:p>
    <w:p>
      <w:pPr>
        <w:pStyle w:val="BibliographyEntry"/>
      </w:pPr>
      <w:r>
        <w:rPr>
          <w:rFonts w:ascii="Times New Roman" w:hAnsi="Times New Roman"/>
          <w:b/>
          <w:sz w:val="22"/>
        </w:rPr>
        <w:t>[6] Anton, S.R., Sodano, H.A.</w:t>
      </w:r>
      <w:r>
        <w:rPr>
          <w:rFonts w:ascii="Times New Roman" w:hAnsi="Times New Roman"/>
          <w:i/>
          <w:sz w:val="22"/>
        </w:rPr>
        <w:t xml:space="preserve"> (2007). A review of power harvesting using piezoelectric materials (2003–2006).</w:t>
      </w:r>
      <w:r>
        <w:rPr>
          <w:rFonts w:ascii="Times New Roman" w:hAnsi="Times New Roman"/>
          <w:sz w:val="22"/>
        </w:rPr>
        <w:t xml:space="preserve"> Smart Materials and Structures, 16(3), R1–R21.</w:t>
      </w:r>
    </w:p>
    <w:p>
      <w:pPr>
        <w:pStyle w:val="BibliographyEntry"/>
      </w:pPr>
      <w:r>
        <w:rPr>
          <w:rFonts w:ascii="Times New Roman" w:hAnsi="Times New Roman"/>
          <w:b/>
          <w:sz w:val="22"/>
        </w:rPr>
        <w:t>[7] Guyomar, D., Badel, A., Lefeuvre, E., Richard, C.</w:t>
      </w:r>
      <w:r>
        <w:rPr>
          <w:rFonts w:ascii="Times New Roman" w:hAnsi="Times New Roman"/>
          <w:i/>
          <w:sz w:val="22"/>
        </w:rPr>
        <w:t xml:space="preserve"> (2005). Toward energy harvesting using active materials and conversion improvement by SSHI techniques.</w:t>
      </w:r>
      <w:r>
        <w:rPr>
          <w:rFonts w:ascii="Times New Roman" w:hAnsi="Times New Roman"/>
          <w:sz w:val="22"/>
        </w:rPr>
        <w:t xml:space="preserve"> IEEE Trans. UFFC, 52(4), 584–595.</w:t>
      </w:r>
    </w:p>
    <w:p>
      <w:pPr>
        <w:pStyle w:val="BibliographyEntry"/>
      </w:pPr>
      <w:r>
        <w:rPr>
          <w:rFonts w:ascii="Times New Roman" w:hAnsi="Times New Roman"/>
          <w:b/>
          <w:sz w:val="22"/>
        </w:rPr>
        <w:t>[8] Lefeuvre, E., Badel, A., Richard, C., Guyomar, D.</w:t>
      </w:r>
      <w:r>
        <w:rPr>
          <w:rFonts w:ascii="Times New Roman" w:hAnsi="Times New Roman"/>
          <w:i/>
          <w:sz w:val="22"/>
        </w:rPr>
        <w:t xml:space="preserve"> (2007). Energy harvesting using piezoelectric materials: Case of random vibrations.</w:t>
      </w:r>
      <w:r>
        <w:rPr>
          <w:rFonts w:ascii="Times New Roman" w:hAnsi="Times New Roman"/>
          <w:sz w:val="22"/>
        </w:rPr>
        <w:t xml:space="preserve"> Journal of Electroceramics, 19(4), 349–355.</w:t>
      </w:r>
    </w:p>
    <w:p>
      <w:pPr>
        <w:pStyle w:val="BibliographyEntry"/>
      </w:pPr>
      <w:r>
        <w:rPr>
          <w:rFonts w:ascii="Times New Roman" w:hAnsi="Times New Roman"/>
          <w:b/>
          <w:sz w:val="22"/>
        </w:rPr>
        <w:t>[9] Chapman, S.J.</w:t>
      </w:r>
      <w:r>
        <w:rPr>
          <w:rFonts w:ascii="Times New Roman" w:hAnsi="Times New Roman"/>
          <w:i/>
          <w:sz w:val="22"/>
        </w:rPr>
        <w:t xml:space="preserve"> (2005). Electric Machinery Fundamentals.</w:t>
      </w:r>
      <w:r>
        <w:rPr>
          <w:rFonts w:ascii="Times New Roman" w:hAnsi="Times New Roman"/>
          <w:sz w:val="22"/>
        </w:rPr>
        <w:t xml:space="preserve"> 4th ed. McGraw-Hill, New York.</w:t>
      </w:r>
    </w:p>
    <w:p>
      <w:pPr>
        <w:pStyle w:val="BibliographyEntry"/>
      </w:pPr>
      <w:r>
        <w:rPr>
          <w:rFonts w:ascii="Times New Roman" w:hAnsi="Times New Roman"/>
          <w:b/>
          <w:sz w:val="22"/>
        </w:rPr>
        <w:t>[10]</w:t>
      </w:r>
      <w:r>
        <w:rPr>
          <w:rFonts w:ascii="Times New Roman" w:hAnsi="Times New Roman"/>
          <w:i/>
          <w:sz w:val="22"/>
        </w:rPr>
        <w:t xml:space="preserve"> IEEE Standard 176-1987 — IEEE Standard on Piezoelectricity.</w:t>
      </w:r>
      <w:r>
        <w:rPr>
          <w:rFonts w:ascii="Times New Roman" w:hAnsi="Times New Roman"/>
          <w:sz w:val="22"/>
        </w:rPr>
        <w:t xml:space="preserve"> Institute of Electrical and Electronics Engineers, New York.</w:t>
      </w:r>
    </w:p>
    <w:p>
      <w:pPr>
        <w:pStyle w:val="BibliographyEntry"/>
      </w:pPr>
      <w:r>
        <w:rPr>
          <w:rFonts w:ascii="Times New Roman" w:hAnsi="Times New Roman"/>
          <w:b/>
          <w:sz w:val="22"/>
        </w:rPr>
        <w:t>[11] ACSM</w:t>
      </w:r>
      <w:r>
        <w:rPr>
          <w:rFonts w:ascii="Times New Roman" w:hAnsi="Times New Roman"/>
          <w:i/>
          <w:sz w:val="22"/>
        </w:rPr>
        <w:t xml:space="preserve"> (2021). ACSM's Guidelines for Exercise Testing and Prescription.</w:t>
      </w:r>
      <w:r>
        <w:rPr>
          <w:rFonts w:ascii="Times New Roman" w:hAnsi="Times New Roman"/>
          <w:sz w:val="22"/>
        </w:rPr>
        <w:t xml:space="preserve"> 11th ed. American College of Sports Medicine, Wolters Kluwer.</w:t>
      </w:r>
    </w:p>
    <w:p>
      <w:pPr>
        <w:pStyle w:val="BibliographyEntry"/>
      </w:pPr>
      <w:r>
        <w:rPr>
          <w:rFonts w:ascii="Times New Roman" w:hAnsi="Times New Roman"/>
          <w:b/>
          <w:sz w:val="22"/>
        </w:rPr>
        <w:t>[12] Hamari, J., Koivisto, J., Sarsa, H.</w:t>
      </w:r>
      <w:r>
        <w:rPr>
          <w:rFonts w:ascii="Times New Roman" w:hAnsi="Times New Roman"/>
          <w:i/>
          <w:sz w:val="22"/>
        </w:rPr>
        <w:t xml:space="preserve"> (2014). Does gamification work? A literature review of empirical studies on gamification.</w:t>
      </w:r>
      <w:r>
        <w:rPr>
          <w:rFonts w:ascii="Times New Roman" w:hAnsi="Times New Roman"/>
          <w:sz w:val="22"/>
        </w:rPr>
        <w:t xml:space="preserve"> HICSS-47.</w:t>
      </w:r>
    </w:p>
    <w:p>
      <w:pPr>
        <w:pStyle w:val="BibliographyEntry"/>
      </w:pPr>
      <w:r>
        <w:rPr>
          <w:rFonts w:ascii="Times New Roman" w:hAnsi="Times New Roman"/>
          <w:b/>
          <w:sz w:val="22"/>
        </w:rPr>
        <w:t>[13] RAND Europe</w:t>
      </w:r>
      <w:r>
        <w:rPr>
          <w:rFonts w:ascii="Times New Roman" w:hAnsi="Times New Roman"/>
          <w:i/>
          <w:sz w:val="22"/>
        </w:rPr>
        <w:t xml:space="preserve"> (2020). Physical activity and productivity: health economics perspectives.</w:t>
      </w:r>
      <w:r>
        <w:rPr>
          <w:rFonts w:ascii="Times New Roman" w:hAnsi="Times New Roman"/>
          <w:sz w:val="22"/>
        </w:rPr>
        <w:t xml:space="preserve"> RAND Corporation Technical Report.</w:t>
      </w:r>
    </w:p>
    <w:p>
      <w:pPr>
        <w:pStyle w:val="BibliographyEntry"/>
      </w:pPr>
      <w:r>
        <w:rPr>
          <w:rFonts w:ascii="Times New Roman" w:hAnsi="Times New Roman"/>
          <w:b/>
          <w:sz w:val="22"/>
        </w:rPr>
        <w:t>[14] EnEx Institute</w:t>
      </w:r>
      <w:r>
        <w:rPr>
          <w:rFonts w:ascii="Times New Roman" w:hAnsi="Times New Roman"/>
          <w:i/>
          <w:sz w:val="22"/>
        </w:rPr>
        <w:t xml:space="preserve"> (2025). Model Specification Exergy Sport-to-Energy V2.0.</w:t>
      </w:r>
      <w:r>
        <w:rPr>
          <w:rFonts w:ascii="Times New Roman" w:hAnsi="Times New Roman"/>
          <w:sz w:val="22"/>
        </w:rPr>
        <w:t xml:space="preserve"> EnEx Institute | Exergy Consortium, Bistrița-Năsăud.</w:t>
      </w:r>
    </w:p>
    <w:p>
      <w:pPr>
        <w:pStyle w:val="BibliographyEntry"/>
      </w:pPr>
      <w:r>
        <w:rPr>
          <w:rFonts w:ascii="Times New Roman" w:hAnsi="Times New Roman"/>
          <w:b/>
          <w:sz w:val="22"/>
        </w:rPr>
        <w:t>[15] EnEx Institute</w:t>
      </w:r>
      <w:r>
        <w:rPr>
          <w:rFonts w:ascii="Times New Roman" w:hAnsi="Times New Roman"/>
          <w:i/>
          <w:sz w:val="22"/>
        </w:rPr>
        <w:t xml:space="preserve"> (2025). Fundamentare Conceptuală Exergy Metasystem V4.</w:t>
      </w:r>
      <w:r>
        <w:rPr>
          <w:rFonts w:ascii="Times New Roman" w:hAnsi="Times New Roman"/>
          <w:sz w:val="22"/>
        </w:rPr>
        <w:t xml:space="preserve"> EnEx Institute | Exergy Consortium, Timișoara.</w:t>
      </w:r>
    </w:p>
    <w:p>
      <w:pPr>
        <w:pStyle w:val="BibliographyEntry"/>
      </w:pPr>
      <w:r>
        <w:rPr>
          <w:rFonts w:ascii="Times New Roman" w:hAnsi="Times New Roman"/>
          <w:b/>
          <w:sz w:val="22"/>
        </w:rPr>
        <w:t>[16]</w:t>
      </w:r>
      <w:r>
        <w:rPr>
          <w:rFonts w:ascii="Times New Roman" w:hAnsi="Times New Roman"/>
          <w:i/>
          <w:sz w:val="22"/>
        </w:rPr>
        <w:t xml:space="preserve"> Regulamentul (UE) 2023/1114 (MiCA) privind piețele activelor cripto.</w:t>
      </w:r>
      <w:r>
        <w:rPr>
          <w:rFonts w:ascii="Times New Roman" w:hAnsi="Times New Roman"/>
          <w:sz w:val="22"/>
        </w:rPr>
        <w:t xml:space="preserve"> Jurnalul Oficial al Uniunii Europene, L 150/40, 9.6.2023.</w:t>
      </w:r>
    </w:p>
    <w:p>
      <w:pPr>
        <w:pStyle w:val="BibliographyEntry"/>
      </w:pPr>
      <w:r>
        <w:rPr>
          <w:rFonts w:ascii="Times New Roman" w:hAnsi="Times New Roman"/>
          <w:b/>
          <w:sz w:val="22"/>
        </w:rPr>
        <w:t>[17]</w:t>
      </w:r>
      <w:r>
        <w:rPr>
          <w:rFonts w:ascii="Times New Roman" w:hAnsi="Times New Roman"/>
          <w:i/>
          <w:sz w:val="22"/>
        </w:rPr>
        <w:t xml:space="preserve"> ISO 50001:2018 — Energy Management Systems — Requirements with guidance for use.</w:t>
      </w:r>
      <w:r>
        <w:rPr>
          <w:rFonts w:ascii="Times New Roman" w:hAnsi="Times New Roman"/>
          <w:sz w:val="22"/>
        </w:rPr>
        <w:t xml:space="preserve"> International Organization for Standardization, Geneva.</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