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Skrypt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Hej. Czy mogę zająć tobie kilka chwil? Prowadzimy badanie z galwanometrem. Czy chciałbyś/chciałabyś pomóc nam w tym zadaniu i wziąć udział w naszym badaniu? Najczęściej nie zajmuje to więcej niż 5 minut.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Pytanie</w:t>
      </w:r>
      <w:r w:rsidDel="00000000" w:rsidR="00000000" w:rsidRPr="00000000">
        <w:rPr>
          <w:rtl w:val="0"/>
        </w:rPr>
        <w:t xml:space="preserve">: A o czym jest badanie?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Nasza odpowiedź</w:t>
      </w:r>
      <w:r w:rsidDel="00000000" w:rsidR="00000000" w:rsidRPr="00000000">
        <w:rPr>
          <w:rtl w:val="0"/>
        </w:rPr>
        <w:t xml:space="preserve">: Prowadzimy badanie na temat wpływu muzyki i postawy ciała na stan fizjologiczny.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Odpowiedź badanego</w:t>
      </w:r>
      <w:r w:rsidDel="00000000" w:rsidR="00000000" w:rsidRPr="00000000">
        <w:rPr>
          <w:rtl w:val="0"/>
        </w:rPr>
        <w:t xml:space="preserve">: Tak.  [Przechodzimy do pokoju gdzie będziemy przeprowadzać badanie.]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Proszę usiąść za ten komputer i założyć na palec elektrody psychogalwanometru. Dzięki niemu będziemy mierzyli przewodnictwo twojej skóry.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[Osoba zakłada elektrody, sprawdzamy reakcję skórno-galwaniczną]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Teraz proszę załóż słuchawki i dostosuj poziom dźwięku do preferowanego poziomu i postępuj zgodnie z instrukcjami na ekranie.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Ewentualne pytanie: </w:t>
      </w:r>
      <w:r w:rsidDel="00000000" w:rsidR="00000000" w:rsidRPr="00000000">
        <w:rPr>
          <w:rtl w:val="0"/>
        </w:rPr>
        <w:t xml:space="preserve">Po co ten galwanomentr? Po co wam zmierzyć przewodnictwo mojej skóry?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Odpowiedź: </w:t>
      </w:r>
      <w:r w:rsidDel="00000000" w:rsidR="00000000" w:rsidRPr="00000000">
        <w:rPr>
          <w:rtl w:val="0"/>
        </w:rPr>
        <w:t xml:space="preserve">Przewodnictwo pokazuje, jak reagujesz na wypełnienie tego kwestionariusza.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ffff"/>
          <w:shd w:fill="9900ff" w:val="clear"/>
        </w:rPr>
      </w:pPr>
      <w:r w:rsidDel="00000000" w:rsidR="00000000" w:rsidRPr="00000000">
        <w:rPr>
          <w:b w:val="1"/>
          <w:color w:val="ffffff"/>
          <w:shd w:fill="9900ff" w:val="clear"/>
          <w:rtl w:val="0"/>
        </w:rPr>
        <w:t xml:space="preserve">Linki dla prowadzących: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Grupa 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Grupa 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Grupa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Grupa 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ffff"/>
          <w:shd w:fill="9900ff" w:val="clear"/>
        </w:rPr>
      </w:pPr>
      <w:r w:rsidDel="00000000" w:rsidR="00000000" w:rsidRPr="00000000">
        <w:rPr>
          <w:b w:val="1"/>
          <w:color w:val="ffffff"/>
          <w:shd w:fill="9900ff" w:val="clear"/>
          <w:rtl w:val="0"/>
        </w:rPr>
        <w:t xml:space="preserve">Kolej przypisywania badanych do grup:</w:t>
      </w:r>
    </w:p>
    <w:tbl>
      <w:tblPr>
        <w:tblStyle w:val="Table1"/>
        <w:tblW w:w="238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1515"/>
        <w:tblGridChange w:id="0">
          <w:tblGrid>
            <w:gridCol w:w="870"/>
            <w:gridCol w:w="151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Subject 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 Group Assigned 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Dff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80" w:lineRule="auto"/>
              <w:rPr>
                <w:b w:val="1"/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94949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80" w:lineRule="auto"/>
              <w:rPr>
                <w:b w:val="1"/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94949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80" w:lineRule="auto"/>
              <w:rPr>
                <w:b w:val="1"/>
                <w:i w:val="1"/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494949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80" w:lineRule="auto"/>
              <w:rPr>
                <w:b w:val="1"/>
                <w:i w:val="1"/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494949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80" w:lineRule="auto"/>
              <w:rPr>
                <w:b w:val="1"/>
                <w:i w:val="1"/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494949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80" w:lineRule="auto"/>
              <w:rPr>
                <w:b w:val="1"/>
                <w:i w:val="1"/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b w:val="1"/>
                <w:i w:val="1"/>
                <w:color w:val="494949"/>
                <w:sz w:val="20"/>
                <w:szCs w:val="20"/>
                <w:highlight w:val="red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80" w:lineRule="auto"/>
              <w:rPr>
                <w:color w:val="494949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cyan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80" w:lineRule="auto"/>
              <w:rPr>
                <w:color w:val="494949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cyan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80" w:lineRule="auto"/>
              <w:rPr>
                <w:color w:val="494949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cyan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80" w:lineRule="auto"/>
              <w:rPr>
                <w:color w:val="494949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cyan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80" w:lineRule="auto"/>
              <w:rPr>
                <w:color w:val="494949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cyan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80" w:lineRule="auto"/>
              <w:rPr>
                <w:color w:val="494949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cyan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80" w:lineRule="auto"/>
              <w:rPr>
                <w:color w:val="494949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cyan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80" w:lineRule="auto"/>
              <w:rPr>
                <w:color w:val="494949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cyan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80" w:lineRule="auto"/>
              <w:rPr>
                <w:color w:val="1155cc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highlight w:val="cyan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80" w:lineRule="auto"/>
              <w:rPr>
                <w:color w:val="1155cc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highlight w:val="cyan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8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8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80" w:lineRule="auto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sz w:val="20"/>
                <w:szCs w:val="20"/>
                <w:highlight w:val="black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80" w:lineRule="auto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sz w:val="20"/>
                <w:szCs w:val="20"/>
                <w:highlight w:val="black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80" w:lineRule="auto"/>
              <w:rPr>
                <w:color w:val="494949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green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80" w:lineRule="auto"/>
              <w:rPr>
                <w:color w:val="494949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green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B done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80" w:lineRule="auto"/>
              <w:rPr>
                <w:color w:val="494949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green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80" w:lineRule="auto"/>
              <w:rPr>
                <w:color w:val="494949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green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B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80" w:lineRule="auto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80" w:lineRule="auto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80" w:lineRule="auto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sz w:val="20"/>
                <w:szCs w:val="20"/>
                <w:highlight w:val="black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80" w:lineRule="auto"/>
              <w:rPr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sz w:val="20"/>
                <w:szCs w:val="20"/>
                <w:highlight w:val="black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80" w:lineRule="auto"/>
              <w:rPr>
                <w:color w:val="494949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red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80" w:lineRule="auto"/>
              <w:rPr>
                <w:color w:val="494949"/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shd w:fill="ff9900" w:val="clear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80" w:lineRule="auto"/>
              <w:rPr>
                <w:color w:val="494949"/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shd w:fill="ff9900" w:val="clear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B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80" w:lineRule="auto"/>
              <w:rPr>
                <w:color w:val="494949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highlight w:val="black"/>
                <w:rtl w:val="0"/>
              </w:rPr>
              <w:t xml:space="preserve">C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80" w:lineRule="auto"/>
              <w:rPr>
                <w:color w:val="494949"/>
                <w:sz w:val="20"/>
                <w:szCs w:val="20"/>
              </w:rPr>
            </w:pPr>
            <w:r w:rsidDel="00000000" w:rsidR="00000000" w:rsidRPr="00000000">
              <w:rPr>
                <w:color w:val="494949"/>
                <w:sz w:val="20"/>
                <w:szCs w:val="20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Kontrolne: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Grupa słucha dźwięku, po czym wypełnia kwestionariusz. Bez napięcia mięśni.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Grupa wypełnia formularz, bez słuchania muzyki i wypełnienia formularza.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Eksperymentalne: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Grupa będzie musiała napiąć mięśnie twarzy w określony sposób jednocześnie słuchając wybranego dźwięku przez określony czas. Po wykonaniu zadania osoba ma określić na skali od 1 do 10 swój nastrój.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samo co pierwsza, tyle że bez dźwięku.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Naciągnij kąciki ust w górę i w tył, tak aby usta rozwarły się trochę.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y1rVAh6ApjWj5cXu8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54RMrxhAgELcUKiJ9" TargetMode="External"/><Relationship Id="rId7" Type="http://schemas.openxmlformats.org/officeDocument/2006/relationships/hyperlink" Target="https://forms.gle/miQDt15V6Nwgw7wR9" TargetMode="External"/><Relationship Id="rId8" Type="http://schemas.openxmlformats.org/officeDocument/2006/relationships/hyperlink" Target="https://forms.gle/gu5E1owx7MDhqPF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