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49F8" w14:textId="77777777" w:rsidR="00294FFB" w:rsidRPr="00301637" w:rsidRDefault="00294FFB" w:rsidP="00294FFB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Plan de Afacere – MoneyStream</w:t>
      </w:r>
    </w:p>
    <w:p w14:paraId="415A9525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Descriere Prototip &amp; Diferențiere</w:t>
      </w:r>
    </w:p>
    <w:p w14:paraId="4B18956A" w14:textId="46E65F82" w:rsidR="00294FFB" w:rsidRPr="00301637" w:rsidRDefault="00294FFB" w:rsidP="00294FFB">
      <w:pPr>
        <w:spacing w:before="100" w:beforeAutospacing="1" w:after="100" w:afterAutospacing="1"/>
        <w:ind w:firstLine="720"/>
        <w:rPr>
          <w:color w:val="000000"/>
          <w:sz w:val="20"/>
          <w:szCs w:val="20"/>
        </w:rPr>
      </w:pPr>
      <w:r w:rsidRPr="00301637">
        <w:rPr>
          <w:color w:val="000000"/>
          <w:sz w:val="20"/>
          <w:szCs w:val="20"/>
        </w:rPr>
        <w:t xml:space="preserve">MoneyStream este o platformă digitală inovatoare care integrează schimbul valutar în timp real cu solicitarea și livrarea de numerar la cursuri personalizate. Comparativ cu soluțiile existente, MoneyStream elimină intermediarii tradiționali, permițând </w:t>
      </w:r>
      <w:r w:rsidRPr="00294FFB">
        <w:rPr>
          <w:color w:val="000000"/>
          <w:sz w:val="20"/>
          <w:szCs w:val="20"/>
        </w:rPr>
        <w:t>partenerilor</w:t>
      </w:r>
      <w:r w:rsidRPr="00301637">
        <w:rPr>
          <w:color w:val="000000"/>
          <w:sz w:val="20"/>
          <w:szCs w:val="20"/>
        </w:rPr>
        <w:t xml:space="preserve"> să negocieze direct cursurile de schimb. Diferențierea principală constă în </w:t>
      </w:r>
      <w:r w:rsidRPr="00301637">
        <w:rPr>
          <w:b/>
          <w:bCs/>
          <w:color w:val="000000"/>
          <w:sz w:val="20"/>
          <w:szCs w:val="20"/>
        </w:rPr>
        <w:t>automatizarea tranzacțiilor</w:t>
      </w:r>
      <w:r w:rsidRPr="00301637">
        <w:rPr>
          <w:color w:val="000000"/>
          <w:sz w:val="20"/>
          <w:szCs w:val="20"/>
        </w:rPr>
        <w:t>, integrarea hărților pentru localizarea partenerilor și securizarea datelor prin criptare.</w:t>
      </w:r>
    </w:p>
    <w:p w14:paraId="0928EFB5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Costuri Prototip &amp; Serii</w:t>
      </w:r>
    </w:p>
    <w:p w14:paraId="0280B153" w14:textId="77777777" w:rsidR="00294FFB" w:rsidRPr="00301637" w:rsidRDefault="00294FFB" w:rsidP="00294FF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Cost dezvoltare prototip (MVP):</w:t>
      </w:r>
      <w:r w:rsidRPr="00301637">
        <w:rPr>
          <w:color w:val="000000"/>
          <w:sz w:val="20"/>
          <w:szCs w:val="20"/>
        </w:rPr>
        <w:t> ~15.000 EUR</w:t>
      </w:r>
    </w:p>
    <w:p w14:paraId="1E1F63F8" w14:textId="77777777" w:rsidR="00294FFB" w:rsidRPr="00301637" w:rsidRDefault="00294FFB" w:rsidP="00294FF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Cost serie 10 unități (scalare minimă):</w:t>
      </w:r>
      <w:r w:rsidRPr="00301637">
        <w:rPr>
          <w:color w:val="000000"/>
          <w:sz w:val="20"/>
          <w:szCs w:val="20"/>
        </w:rPr>
        <w:t> ~30.000 EUR</w:t>
      </w:r>
    </w:p>
    <w:p w14:paraId="354AD805" w14:textId="77777777" w:rsidR="00294FFB" w:rsidRPr="00301637" w:rsidRDefault="00294FFB" w:rsidP="00294FFB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Cost serie 100 unități (scalare extinsă):</w:t>
      </w:r>
      <w:r w:rsidRPr="00301637">
        <w:rPr>
          <w:color w:val="000000"/>
          <w:sz w:val="20"/>
          <w:szCs w:val="20"/>
        </w:rPr>
        <w:t> ~200.000 EUR</w:t>
      </w:r>
    </w:p>
    <w:p w14:paraId="134E07C5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Software-uri Utilizate</w:t>
      </w:r>
    </w:p>
    <w:p w14:paraId="338CBCC6" w14:textId="77777777" w:rsidR="00294FFB" w:rsidRPr="00301637" w:rsidRDefault="00294FFB" w:rsidP="00294FFB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Backend:</w:t>
      </w:r>
      <w:r w:rsidRPr="00301637">
        <w:rPr>
          <w:color w:val="000000"/>
          <w:sz w:val="20"/>
          <w:szCs w:val="20"/>
        </w:rPr>
        <w:t> Node.js, Express.js, MySQL</w:t>
      </w:r>
    </w:p>
    <w:p w14:paraId="3932D837" w14:textId="77777777" w:rsidR="00294FFB" w:rsidRPr="00301637" w:rsidRDefault="00294FFB" w:rsidP="00294FFB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Frontend:</w:t>
      </w:r>
      <w:r w:rsidRPr="00301637">
        <w:rPr>
          <w:color w:val="000000"/>
          <w:sz w:val="20"/>
          <w:szCs w:val="20"/>
        </w:rPr>
        <w:t> React.js, Google Maps API, Google Charts</w:t>
      </w:r>
    </w:p>
    <w:p w14:paraId="6E9D791D" w14:textId="77777777" w:rsidR="00294FFB" w:rsidRPr="00301637" w:rsidRDefault="00294FFB" w:rsidP="00294FFB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Securitate:</w:t>
      </w:r>
      <w:r w:rsidRPr="00301637">
        <w:rPr>
          <w:color w:val="000000"/>
          <w:sz w:val="20"/>
          <w:szCs w:val="20"/>
        </w:rPr>
        <w:t> JWT, MD5 hashing</w:t>
      </w:r>
    </w:p>
    <w:p w14:paraId="2A3C4426" w14:textId="55614023" w:rsidR="00294FFB" w:rsidRPr="00301637" w:rsidRDefault="00294FFB" w:rsidP="00294FFB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Alte integrări:</w:t>
      </w:r>
      <w:r w:rsidRPr="00301637">
        <w:rPr>
          <w:color w:val="000000"/>
          <w:sz w:val="20"/>
          <w:szCs w:val="20"/>
        </w:rPr>
        <w:t> SMTP pentru notificări, OpenAPI</w:t>
      </w:r>
    </w:p>
    <w:p w14:paraId="650F2DF5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Plan de Vânzări – Primul An</w:t>
      </w:r>
    </w:p>
    <w:p w14:paraId="12630D23" w14:textId="77777777" w:rsidR="00294FFB" w:rsidRPr="00301637" w:rsidRDefault="00294FFB" w:rsidP="00294FFB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Trimestrul 1:</w:t>
      </w:r>
      <w:r w:rsidRPr="00301637">
        <w:rPr>
          <w:color w:val="000000"/>
          <w:sz w:val="20"/>
          <w:szCs w:val="20"/>
        </w:rPr>
        <w:t> Lansare beta, atragere de parteneri strategici (case de schimb, hoteluri, aeroporturi).</w:t>
      </w:r>
    </w:p>
    <w:p w14:paraId="7CFBB83A" w14:textId="77777777" w:rsidR="00294FFB" w:rsidRPr="00301637" w:rsidRDefault="00294FFB" w:rsidP="00294FFB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Trimestrul 2:</w:t>
      </w:r>
      <w:r w:rsidRPr="00301637">
        <w:rPr>
          <w:color w:val="000000"/>
          <w:sz w:val="20"/>
          <w:szCs w:val="20"/>
        </w:rPr>
        <w:t> Campanie de marketing digital (SEO, social media, Google Ads), onboarding clienți.</w:t>
      </w:r>
    </w:p>
    <w:p w14:paraId="5FD771F8" w14:textId="77777777" w:rsidR="00294FFB" w:rsidRPr="00301637" w:rsidRDefault="00294FFB" w:rsidP="00294FFB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Trimestrul 3:</w:t>
      </w:r>
      <w:r w:rsidRPr="00301637">
        <w:rPr>
          <w:color w:val="000000"/>
          <w:sz w:val="20"/>
          <w:szCs w:val="20"/>
        </w:rPr>
        <w:t> Extinderea parteneriatelor în orașe cheie, optimizare funcționalități pe baza feedback-ului.</w:t>
      </w:r>
    </w:p>
    <w:p w14:paraId="673C1C52" w14:textId="77777777" w:rsidR="00294FFB" w:rsidRPr="00301637" w:rsidRDefault="00294FFB" w:rsidP="00294FFB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Trimestrul 4:</w:t>
      </w:r>
      <w:r w:rsidRPr="00301637">
        <w:rPr>
          <w:color w:val="000000"/>
          <w:sz w:val="20"/>
          <w:szCs w:val="20"/>
        </w:rPr>
        <w:t> Lansare full-scale, integrare cu aplicații financiare terțe, monetizare prin comisioane și abonamente premium.</w:t>
      </w:r>
    </w:p>
    <w:p w14:paraId="08175ED8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Buget Estimat pentru Lansare</w:t>
      </w:r>
    </w:p>
    <w:p w14:paraId="039E2AE9" w14:textId="77777777" w:rsidR="00294FFB" w:rsidRPr="00301637" w:rsidRDefault="00294FFB" w:rsidP="00294FFB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Dezvoltare &amp; Infrastructură:</w:t>
      </w:r>
      <w:r w:rsidRPr="00301637">
        <w:rPr>
          <w:color w:val="000000"/>
          <w:sz w:val="20"/>
          <w:szCs w:val="20"/>
        </w:rPr>
        <w:t> 50.000 EUR</w:t>
      </w:r>
    </w:p>
    <w:p w14:paraId="65E0E716" w14:textId="77777777" w:rsidR="00294FFB" w:rsidRPr="00301637" w:rsidRDefault="00294FFB" w:rsidP="00294FFB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Marketing &amp; Parteneriate:</w:t>
      </w:r>
      <w:r w:rsidRPr="00301637">
        <w:rPr>
          <w:color w:val="000000"/>
          <w:sz w:val="20"/>
          <w:szCs w:val="20"/>
        </w:rPr>
        <w:t> 25.000 EUR</w:t>
      </w:r>
    </w:p>
    <w:p w14:paraId="000E2AE9" w14:textId="77777777" w:rsidR="00294FFB" w:rsidRPr="00301637" w:rsidRDefault="00294FFB" w:rsidP="00294FFB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Suport &amp; Operare:</w:t>
      </w:r>
      <w:r w:rsidRPr="00301637">
        <w:rPr>
          <w:color w:val="000000"/>
          <w:sz w:val="20"/>
          <w:szCs w:val="20"/>
        </w:rPr>
        <w:t> 10.000 EUR</w:t>
      </w:r>
    </w:p>
    <w:p w14:paraId="3A90E00C" w14:textId="77777777" w:rsidR="00294FFB" w:rsidRPr="00301637" w:rsidRDefault="00294FFB" w:rsidP="00294FFB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Total estimat:</w:t>
      </w:r>
      <w:r w:rsidRPr="00301637">
        <w:rPr>
          <w:color w:val="000000"/>
          <w:sz w:val="20"/>
          <w:szCs w:val="20"/>
        </w:rPr>
        <w:t> 85.000 EUR</w:t>
      </w:r>
    </w:p>
    <w:p w14:paraId="62EFF710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Timp de Realizare a Serie Zero</w:t>
      </w:r>
    </w:p>
    <w:p w14:paraId="2AE60BF6" w14:textId="77777777" w:rsidR="00294FFB" w:rsidRPr="00301637" w:rsidRDefault="00294FFB" w:rsidP="00294FF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color w:val="000000"/>
          <w:sz w:val="20"/>
          <w:szCs w:val="20"/>
        </w:rPr>
        <w:t>Dezvoltare MVP: </w:t>
      </w:r>
      <w:r w:rsidRPr="00301637">
        <w:rPr>
          <w:b/>
          <w:bCs/>
          <w:color w:val="000000"/>
          <w:sz w:val="20"/>
          <w:szCs w:val="20"/>
        </w:rPr>
        <w:t>3 luni</w:t>
      </w:r>
    </w:p>
    <w:p w14:paraId="5665AC77" w14:textId="77777777" w:rsidR="00294FFB" w:rsidRPr="00301637" w:rsidRDefault="00294FFB" w:rsidP="00294FF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color w:val="000000"/>
          <w:sz w:val="20"/>
          <w:szCs w:val="20"/>
        </w:rPr>
        <w:t>Testare și optimizare: </w:t>
      </w:r>
      <w:r w:rsidRPr="00301637">
        <w:rPr>
          <w:b/>
          <w:bCs/>
          <w:color w:val="000000"/>
          <w:sz w:val="20"/>
          <w:szCs w:val="20"/>
        </w:rPr>
        <w:t>2 luni</w:t>
      </w:r>
    </w:p>
    <w:p w14:paraId="159631BE" w14:textId="0879E760" w:rsidR="00294FFB" w:rsidRPr="00301637" w:rsidRDefault="00294FFB" w:rsidP="00294FF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color w:val="000000"/>
          <w:sz w:val="20"/>
          <w:szCs w:val="20"/>
        </w:rPr>
        <w:t>Lansare oficială: </w:t>
      </w:r>
      <w:r w:rsidRPr="00294FFB">
        <w:rPr>
          <w:b/>
          <w:bCs/>
          <w:color w:val="000000"/>
          <w:sz w:val="20"/>
          <w:szCs w:val="20"/>
        </w:rPr>
        <w:t>În</w:t>
      </w:r>
      <w:r>
        <w:rPr>
          <w:b/>
          <w:bCs/>
          <w:color w:val="000000"/>
          <w:sz w:val="20"/>
          <w:szCs w:val="20"/>
        </w:rPr>
        <w:t xml:space="preserve"> cea de-a</w:t>
      </w:r>
      <w:r w:rsidRPr="00301637">
        <w:rPr>
          <w:b/>
          <w:bCs/>
          <w:color w:val="000000"/>
          <w:sz w:val="20"/>
          <w:szCs w:val="20"/>
        </w:rPr>
        <w:t xml:space="preserve"> 6</w:t>
      </w:r>
      <w:r>
        <w:rPr>
          <w:b/>
          <w:bCs/>
          <w:color w:val="000000"/>
          <w:sz w:val="20"/>
          <w:szCs w:val="20"/>
        </w:rPr>
        <w:t>-a lun</w:t>
      </w:r>
      <w:r w:rsidRPr="00294FFB">
        <w:rPr>
          <w:b/>
          <w:bCs/>
          <w:color w:val="000000"/>
          <w:sz w:val="20"/>
          <w:szCs w:val="20"/>
        </w:rPr>
        <w:t>ă</w:t>
      </w:r>
    </w:p>
    <w:p w14:paraId="3DFEF7B4" w14:textId="77777777" w:rsidR="00294FFB" w:rsidRPr="00301637" w:rsidRDefault="00294FFB" w:rsidP="00294FFB">
      <w:pPr>
        <w:spacing w:before="100" w:beforeAutospacing="1" w:after="100" w:afterAutospacing="1"/>
        <w:outlineLvl w:val="3"/>
        <w:rPr>
          <w:b/>
          <w:bCs/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Certificare &amp; Brevetare</w:t>
      </w:r>
    </w:p>
    <w:p w14:paraId="79717846" w14:textId="77777777" w:rsidR="00294FFB" w:rsidRPr="00301637" w:rsidRDefault="00294FFB" w:rsidP="00294FFB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Certificare:</w:t>
      </w:r>
      <w:r w:rsidRPr="00301637">
        <w:rPr>
          <w:color w:val="000000"/>
          <w:sz w:val="20"/>
          <w:szCs w:val="20"/>
        </w:rPr>
        <w:t> Nu este necesară, dar conformitatea cu reglementările GDPR și PCI-DSS este esențială.</w:t>
      </w:r>
    </w:p>
    <w:p w14:paraId="11200500" w14:textId="77777777" w:rsidR="00294FFB" w:rsidRPr="00301637" w:rsidRDefault="00294FFB" w:rsidP="00294FFB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b/>
          <w:bCs/>
          <w:color w:val="000000"/>
          <w:sz w:val="20"/>
          <w:szCs w:val="20"/>
        </w:rPr>
        <w:t>Brevetare:</w:t>
      </w:r>
      <w:r w:rsidRPr="00301637">
        <w:rPr>
          <w:color w:val="000000"/>
          <w:sz w:val="20"/>
          <w:szCs w:val="20"/>
        </w:rPr>
        <w:t> Software-ul nu necesită brevet, dar elementele inovative pot fi protejate prin drepturi de autor și marcă înregistrată.</w:t>
      </w:r>
    </w:p>
    <w:p w14:paraId="5DC7E204" w14:textId="491F7220" w:rsidR="00E04289" w:rsidRPr="00294FFB" w:rsidRDefault="00294FFB" w:rsidP="00294FFB">
      <w:pPr>
        <w:spacing w:before="100" w:beforeAutospacing="1" w:after="100" w:afterAutospacing="1"/>
        <w:rPr>
          <w:color w:val="000000"/>
          <w:sz w:val="20"/>
          <w:szCs w:val="20"/>
        </w:rPr>
      </w:pPr>
      <w:r w:rsidRPr="00301637">
        <w:rPr>
          <w:color w:val="000000"/>
          <w:sz w:val="20"/>
          <w:szCs w:val="20"/>
        </w:rPr>
        <w:t>MoneyStream are potențial de creștere rapidă în industria fintech, adresând o nevoie reală a pieței prin tehnologie sigură și eficientă.</w:t>
      </w:r>
    </w:p>
    <w:sectPr w:rsidR="00E04289" w:rsidRPr="0029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6320"/>
    <w:multiLevelType w:val="multilevel"/>
    <w:tmpl w:val="147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7662E"/>
    <w:multiLevelType w:val="multilevel"/>
    <w:tmpl w:val="6A38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9787B"/>
    <w:multiLevelType w:val="multilevel"/>
    <w:tmpl w:val="B7E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536DA"/>
    <w:multiLevelType w:val="multilevel"/>
    <w:tmpl w:val="15E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A029A"/>
    <w:multiLevelType w:val="multilevel"/>
    <w:tmpl w:val="122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E3278"/>
    <w:multiLevelType w:val="multilevel"/>
    <w:tmpl w:val="DA9A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144387">
    <w:abstractNumId w:val="3"/>
  </w:num>
  <w:num w:numId="2" w16cid:durableId="1718818633">
    <w:abstractNumId w:val="4"/>
  </w:num>
  <w:num w:numId="3" w16cid:durableId="1577351006">
    <w:abstractNumId w:val="5"/>
  </w:num>
  <w:num w:numId="4" w16cid:durableId="1006441972">
    <w:abstractNumId w:val="0"/>
  </w:num>
  <w:num w:numId="5" w16cid:durableId="1058820316">
    <w:abstractNumId w:val="2"/>
  </w:num>
  <w:num w:numId="6" w16cid:durableId="117618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1D1A23"/>
    <w:rsid w:val="001E66B1"/>
    <w:rsid w:val="001F574F"/>
    <w:rsid w:val="00294FFB"/>
    <w:rsid w:val="00316019"/>
    <w:rsid w:val="0060798C"/>
    <w:rsid w:val="00840C13"/>
    <w:rsid w:val="008B65F9"/>
    <w:rsid w:val="00AD042E"/>
    <w:rsid w:val="00BD5A18"/>
    <w:rsid w:val="00E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EF6762"/>
  <w15:chartTrackingRefBased/>
  <w15:docId w15:val="{736FC9E0-245F-8540-B425-820816FC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F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Susana Forrai</dc:creator>
  <cp:keywords/>
  <dc:description/>
  <cp:lastModifiedBy>Diana Susana Forrai</cp:lastModifiedBy>
  <cp:revision>2</cp:revision>
  <dcterms:created xsi:type="dcterms:W3CDTF">2025-02-09T14:15:00Z</dcterms:created>
  <dcterms:modified xsi:type="dcterms:W3CDTF">2025-02-09T14:15:00Z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2025-02-09T14:11:11Z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4c29f73b-8047-4d98-aaa3-d33d948f4c57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50, 3, 0, 1</vt:lpwstr>
  </property>
</Properties>
</file>