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Relevant Publications</w:t>
      </w:r>
    </w:p>
    <w:p>
      <w:pPr>
        <w:spacing w:after="200"/>
      </w:pPr>
      <w:r>
        <w:rPr>
          <w:rFonts w:ascii="Calibri" w:hAnsi="Calibri"/>
          <w:color w:val="555555"/>
          <w:sz w:val="20"/>
        </w:rPr>
        <w:t>Bogdan Didenko | Google Scholar: https://scholar.google.com/citations?user=Kj-mmWgAAAAJ&amp;hl=en</w:t>
      </w:r>
    </w:p>
    <w:p>
      <w:pPr>
        <w:spacing w:after="160"/>
      </w:pPr>
      <w:r>
        <w:rPr>
          <w:b/>
        </w:rPr>
        <w:t xml:space="preserve">Profile summary: </w:t>
      </w:r>
      <w:r>
        <w:t>WebSpellChecker LLC; Lviv Polytechnic National University. Google Scholar reports 31 citations as of 9 July 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Publication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Authors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Venue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Citations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2026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Data-Efficient Adaptation of Multilingual LLMs to Ukrainian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Y. Paniv, B. Didenko, M. Haltiuk, V. Humennyy, A. Kravchenko, R. Kyslyi, et al.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Proceedings of the Fifth Ukrainian Natural Language Processing Conference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RedPenNet for Grammatical Error Correction: Outputs to Tokens, Attentions to Spans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B. Didenko, A. Sameliuk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Proceedings of the Second Ukrainian Natural Language Processing Workshop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 citations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2019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Multi-headed Architecture Based on BERT for Grammatical Errors Correction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B. Didenko, J. Shaptala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Proceedings of the Fourteenth Workshop on Innovative Use of NLP for Building Educational Applications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21 citations</w:t>
            </w:r>
          </w:p>
        </w:tc>
      </w:tr>
    </w:tbl>
    <w:p>
      <w:pPr>
        <w:spacing w:before="160"/>
      </w:pPr>
      <w:r>
        <w:rPr>
          <w:b/>
        </w:rPr>
        <w:t xml:space="preserve">Relevance to the application: </w:t>
      </w:r>
      <w:r>
        <w:t>these works demonstrate experience with transformer architectures, multilingual LLM adaptation, reproducible NLP benchmarking, and applied model development, which directly supports the proposed comparison of classical ML, deep learning, and foundation-model approaches.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