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eastAsia="Arial"/>
          <w:b/>
          <w:sz w:val="25"/>
        </w:rPr>
        <w:t>From Biological Modalities to Model Inputs: A Route Taxonomy for Generative Multimodal Foundation Models</w:t>
      </w:r>
    </w:p>
    <w:p>
      <w:pPr>
        <w:spacing w:before="0" w:after="0" w:line="190" w:lineRule="exact"/>
        <w:jc w:val="left"/>
      </w:pPr>
      <w:r>
        <w:rPr>
          <w:rFonts w:ascii="Arial" w:hAnsi="Arial" w:eastAsia="Arial"/>
          <w:b/>
          <w:sz w:val="18"/>
        </w:rPr>
        <w:t>[Author names]</w:t>
      </w:r>
      <w:r>
        <w:rPr>
          <w:rFonts w:ascii="Arial" w:hAnsi="Arial" w:eastAsia="Arial"/>
          <w:b w:val="0"/>
          <w:sz w:val="14"/>
          <w:vertAlign w:val="superscript"/>
        </w:rPr>
        <w:t>*</w:t>
      </w:r>
    </w:p>
    <w:p>
      <w:pPr>
        <w:spacing w:before="0" w:after="0" w:line="190" w:lineRule="exact"/>
        <w:jc w:val="left"/>
      </w:pPr>
      <w:r>
        <w:rPr>
          <w:rFonts w:ascii="Times New Roman" w:hAnsi="Times New Roman" w:eastAsia="Times New Roman"/>
          <w:color w:val="444444"/>
          <w:sz w:val="16"/>
        </w:rPr>
        <w:t>[Affiliations]</w:t>
      </w:r>
    </w:p>
    <w:p>
      <w:pPr>
        <w:spacing w:before="0" w:after="0" w:line="190" w:lineRule="exact"/>
        <w:jc w:val="left"/>
      </w:pPr>
      <w:r>
        <w:rPr>
          <w:rFonts w:ascii="Times New Roman" w:hAnsi="Times New Roman" w:eastAsia="Times New Roman"/>
          <w:i/>
          <w:color w:val="777777"/>
          <w:sz w:val="16"/>
        </w:rPr>
        <w:t>*Correspondence: [email]</w:t>
      </w:r>
    </w:p>
    <w:p>
      <w:pPr>
        <w:spacing w:before="0" w:after="40" w:line="190" w:lineRule="exact"/>
        <w:jc w:val="left"/>
      </w:pPr>
      <w:r>
        <w:rPr>
          <w:rFonts w:ascii="Times New Roman" w:hAnsi="Times New Roman" w:eastAsia="Times New Roman"/>
          <w:i/>
          <w:color w:val="777777"/>
          <w:sz w:val="15"/>
        </w:rPr>
        <w:t>Received [DD Month YYYY]</w:t>
      </w:r>
    </w:p>
    <w:p>
      <w:pPr>
        <w:spacing w:before="100" w:after="40"/>
        <w:jc w:val="left"/>
      </w:pPr>
      <w:r>
        <w:rPr>
          <w:rFonts w:ascii="Arial" w:hAnsi="Arial"/>
          <w:b/>
          <w:i w:val="0"/>
          <w:sz w:val="18"/>
        </w:rPr>
        <w:t>Abstract</w:t>
      </w:r>
    </w:p>
    <w:p>
      <w:pPr>
        <w:spacing w:before="0" w:after="0" w:line="188" w:lineRule="exact"/>
        <w:jc w:val="both"/>
        <w:spacing w:line="210" w:lineRule="exact"/>
      </w:pPr>
      <w:r>
        <w:rPr>
          <w:rFonts w:ascii="Times New Roman" w:hAnsi="Times New Roman" w:eastAsia="Times New Roman"/>
          <w:sz w:val="17"/>
        </w:rPr>
        <w:t>Motivation: Text can provide task control, biological semantics and interpretable output, while non-text measurements ground generation. However, grouping models by source modality hides the model-facing representation: the same biological object may be serialized, projected, tokenized or rasterized. A representation-level vocabulary is needed for architectural comparison.</w:t>
      </w:r>
    </w:p>
    <w:p>
      <w:pPr>
        <w:spacing w:before="0" w:after="0" w:line="188" w:lineRule="exact"/>
        <w:jc w:val="both"/>
        <w:spacing w:line="210" w:lineRule="exact"/>
      </w:pPr>
      <w:r>
        <w:rPr>
          <w:rFonts w:ascii="Times New Roman" w:hAnsi="Times New Roman" w:eastAsia="Times New Roman"/>
          <w:sz w:val="17"/>
        </w:rPr>
        <w:t>Results: From a PRISMA-ScR corpus of 52 records (51 studies), we annotated 489 source-to-model routes across 111 models and 376 task configurations. We classify the carrier consumed by the generative backbone into five families and 15 subtypes. Although 37 records used multiple families, only 44 configurations were multi-family; 332 exposed one family at a time. Text served as instruction/query in 165 routes, biological payload in 115 and paired-alignment supervision in 63. Thus, paper-level multimodality, text participation and simultaneous model input are not equivalent. Repeated classifications achieved route-detection Jaccard of at least 0.948 and carrier-family Krippendorff alpha 0.875.</w:t>
      </w:r>
    </w:p>
    <w:p>
      <w:pPr>
        <w:spacing w:before="0" w:after="0" w:line="188" w:lineRule="exact"/>
        <w:jc w:val="both"/>
        <w:spacing w:line="210" w:lineRule="exact"/>
      </w:pPr>
      <w:r>
        <w:rPr>
          <w:rFonts w:ascii="Times New Roman" w:hAnsi="Times New Roman" w:eastAsia="Times New Roman"/>
          <w:sz w:val="17"/>
        </w:rPr>
        <w:t>Availability and implementation: Code, protocol and versioned artifacts: https://github.com/BogdanDidenko/text-bio-fundational-models-review</w:t>
      </w:r>
    </w:p>
    <w:p>
      <w:pPr>
        <w:spacing w:before="40" w:after="0"/>
        <w:jc w:val="center"/>
      </w:pPr>
      <w:r>
        <w:drawing>
          <wp:inline xmlns:a="http://schemas.openxmlformats.org/drawingml/2006/main" xmlns:pic="http://schemas.openxmlformats.org/drawingml/2006/picture">
            <wp:extent cx="6355080" cy="2118360"/>
            <wp:docPr id="1" name="Picture 1"/>
            <wp:cNvGraphicFramePr>
              <a:graphicFrameLocks noChangeAspect="1"/>
            </wp:cNvGraphicFramePr>
            <a:graphic>
              <a:graphicData uri="http://schemas.openxmlformats.org/drawingml/2006/picture">
                <pic:pic>
                  <pic:nvPicPr>
                    <pic:cNvPr id="0" name="figure_1_taxonomy.png"/>
                    <pic:cNvPicPr/>
                  </pic:nvPicPr>
                  <pic:blipFill>
                    <a:blip r:embed="rId11"/>
                    <a:stretch>
                      <a:fillRect/>
                    </a:stretch>
                  </pic:blipFill>
                  <pic:spPr>
                    <a:xfrm>
                      <a:off x="0" y="0"/>
                      <a:ext cx="6355080" cy="2118360"/>
                    </a:xfrm>
                    <a:prstGeom prst="rect"/>
                  </pic:spPr>
                </pic:pic>
              </a:graphicData>
            </a:graphic>
          </wp:inline>
        </w:drawing>
      </w:r>
    </w:p>
    <w:p>
      <w:pPr>
        <w:spacing w:before="0" w:after="20" w:line="166" w:lineRule="exact"/>
        <w:jc w:val="both"/>
      </w:pPr>
      <w:r>
        <w:rPr>
          <w:rFonts w:ascii="Times New Roman" w:hAnsi="Times New Roman" w:eastAsia="Times New Roman"/>
          <w:b w:val="0"/>
          <w:i/>
          <w:color w:val="444444"/>
          <w:sz w:val="14"/>
        </w:rPr>
        <w:t>Fig. 1. Route-level input-representation taxonomy. Rightmost values are routes / records; one configuration may contain several routes.</w:t>
      </w:r>
    </w:p>
    <w:tbl>
      <w:tblPr>
        <w:tblStyle w:val="TableGrid"/>
        <w:tblW w:type="auto" w:w="0"/>
        <w:tblLook w:firstColumn="1" w:firstRow="1" w:lastColumn="0" w:lastRow="0" w:noHBand="0" w:noVBand="1" w:val="04A0"/>
        <w:tblW w:w="10036" w:type="dxa"/>
        <w:tblBorders>
          <w:top w:val="none"/>
          <w:left w:val="none"/>
          <w:bottom w:val="none"/>
          <w:right w:val="none"/>
          <w:insideH w:val="none"/>
          <w:insideV w:val="none"/>
        </w:tblBorders>
        <w:tblCellSpacing w:w="0" w:type="dxa"/>
      </w:tblPr>
      <w:tblGrid>
        <w:gridCol w:w="5017"/>
        <w:gridCol w:w="5017"/>
      </w:tblGrid>
      <w:tr>
        <w:tc>
          <w:tcPr>
            <w:tcW w:type="dxa" w:w="5017"/>
            <w:tcW w:w="4874" w:type="dxa"/>
            <w:tcBorders>
              <w:top w:val="none"/>
              <w:left w:val="none"/>
              <w:bottom w:val="none"/>
              <w:right w:val="none"/>
              <w:insideH w:val="none"/>
              <w:insideV w:val="none"/>
            </w:tcBorders>
            <w:vAlign w:val="top"/>
            <w:tcMar>
              <w:top w:w="0" w:type="dxa"/>
              <w:bottom w:w="0" w:type="dxa"/>
              <w:left w:w="0" w:type="dxa"/>
              <w:right w:w="0" w:type="dxa"/>
            </w:tcMar>
          </w:tcPr>
          <w:p>
            <w:pPr>
              <w:spacing w:before="20" w:after="20" w:line="192" w:lineRule="exact"/>
              <w:jc w:val="left"/>
            </w:pPr>
            <w:r>
              <w:rPr>
                <w:rFonts w:ascii="Arial" w:hAnsi="Arial" w:eastAsia="Arial"/>
                <w:b/>
                <w:sz w:val="17"/>
              </w:rPr>
              <w:t>1  INTRODUCTION</w:t>
            </w:r>
          </w:p>
          <w:p>
            <w:pPr>
              <w:spacing w:before="0" w:after="20" w:line="192" w:lineRule="exact"/>
              <w:jc w:val="both"/>
            </w:pPr>
            <w:r>
              <w:rPr>
                <w:rFonts w:ascii="Times New Roman" w:hAnsi="Times New Roman" w:eastAsia="Times New Roman"/>
                <w:b w:val="0"/>
                <w:sz w:val="17"/>
              </w:rPr>
              <w:t>Generalist models are expected to accept flexible modality combinations (Moor et al., 2023), but text is not merely another biomedical modality. It can specify a task, carry external knowledge and express an explanation, whereas sequences, omics, images and structures constrain generation to measured biology. Labels such as text-omics or hybrid describe available sources, not what the backbone receives. We therefore classify source-to-model transformations rather than papers.</w:t>
            </w:r>
          </w:p>
          <w:p>
            <w:pPr>
              <w:spacing w:before="20" w:after="20" w:line="192" w:lineRule="exact"/>
              <w:jc w:val="left"/>
            </w:pPr>
            <w:r>
              <w:rPr>
                <w:rFonts w:ascii="Arial" w:hAnsi="Arial" w:eastAsia="Arial"/>
                <w:b/>
                <w:sz w:val="17"/>
              </w:rPr>
              <w:t>2  METHODS</w:t>
            </w:r>
          </w:p>
          <w:p>
            <w:pPr>
              <w:spacing w:before="0" w:after="20" w:line="192" w:lineRule="exact"/>
              <w:jc w:val="both"/>
            </w:pPr>
            <w:r>
              <w:rPr>
                <w:rFonts w:ascii="Times New Roman" w:hAnsi="Times New Roman" w:eastAsia="Times New Roman"/>
                <w:b w:val="0"/>
                <w:sz w:val="17"/>
              </w:rPr>
              <w:t>Following PRISMA-ScR and PRISMA-S (Tricco et al., 2018; Rethlefsen et al., 2021), searches across seven databases identified 7,531 records; repeated role-based screening retained 52. VLM-enriched Docling profiles (Auer et al., 2024) and Docling Graph provenance supported open extraction without a predefined taxonomy. Three syntheses were reconciled before three fixed-candidate classifications, dense coverage audit and blinded adjudication without source truncation. Accepted routes required verbatim canonical-text or native-item evidence; figure descriptions alone were insufficient.</w:t>
            </w:r>
          </w:p>
          <w:p>
            <w:pPr>
              <w:spacing w:before="20" w:after="20" w:line="192" w:lineRule="exact"/>
              <w:jc w:val="left"/>
            </w:pPr>
            <w:r>
              <w:rPr>
                <w:rFonts w:ascii="Arial" w:hAnsi="Arial" w:eastAsia="Arial"/>
                <w:b/>
                <w:sz w:val="17"/>
              </w:rPr>
              <w:t>3  RESULTS</w:t>
            </w:r>
          </w:p>
          <w:p>
            <w:pPr>
              <w:spacing w:before="0" w:after="20" w:line="192" w:lineRule="exact"/>
              <w:jc w:val="both"/>
            </w:pPr>
            <w:r>
              <w:rPr>
                <w:rFonts w:ascii="Times New Roman" w:hAnsi="Times New Roman" w:eastAsia="Times New Roman"/>
                <w:b w:val="0"/>
                <w:sz w:val="17"/>
              </w:rPr>
              <w:t>The taxonomy assigns each source object to the first model-facing carrier after semantic preprocessing (Fig. 1); source modality, text role, lifecycle and fusion remain orthogonal. RNA routes crossed three families (15 text-native, 12 dense and one discrete). Dense carriers entered through cross-attention (19 routes), placeholder replacement (17), concatenation (16) or prefixes (9), showing that carrier and fusion are not interchangeable.</w:t>
            </w:r>
          </w:p>
        </w:tc>
        <w:tc>
          <w:tcPr>
            <w:tcW w:type="dxa" w:w="5017"/>
            <w:tcW w:w="4874" w:type="dxa"/>
            <w:tcBorders>
              <w:top w:val="none"/>
              <w:left w:val="none"/>
              <w:bottom w:val="none"/>
              <w:right w:val="none"/>
              <w:insideH w:val="none"/>
              <w:insideV w:val="none"/>
            </w:tcBorders>
            <w:vAlign w:val="top"/>
            <w:tcMar>
              <w:top w:w="0" w:type="dxa"/>
              <w:bottom w:w="0" w:type="dxa"/>
              <w:left w:w="288" w:type="dxa"/>
              <w:right w:w="0" w:type="dxa"/>
            </w:tcMar>
          </w:tcPr>
          <w:p>
            <w:pPr>
              <w:spacing w:before="0" w:after="20" w:line="192" w:lineRule="exact"/>
              <w:jc w:val="both"/>
            </w:pPr>
            <w:r>
              <w:rPr>
                <w:rFonts w:ascii="Times New Roman" w:hAnsi="Times New Roman" w:eastAsia="Times New Roman"/>
                <w:b w:val="0"/>
                <w:sz w:val="17"/>
              </w:rPr>
              <w:t>Thirty-seven records combined families, but 332/376 task configurations used one family and only 44 used several. Text was primarily a control interface (165 instruction/query routes), but also biological payload (115) and alignment supervision (63). Rare mechanisms were retained rather than absorbed into a hybrid category.</w:t>
            </w:r>
          </w:p>
          <w:p>
            <w:pPr>
              <w:spacing w:before="20" w:after="20" w:line="192" w:lineRule="exact"/>
              <w:jc w:val="left"/>
            </w:pPr>
            <w:r>
              <w:rPr>
                <w:rFonts w:ascii="Arial" w:hAnsi="Arial" w:eastAsia="Arial"/>
                <w:b/>
                <w:sz w:val="17"/>
              </w:rPr>
              <w:t>4  DISCUSSION AND CONCLUSION</w:t>
            </w:r>
          </w:p>
          <w:p>
            <w:pPr>
              <w:spacing w:before="0" w:after="20" w:line="192" w:lineRule="exact"/>
              <w:jc w:val="both"/>
            </w:pPr>
            <w:r>
              <w:rPr>
                <w:rFonts w:ascii="Times New Roman" w:hAnsi="Times New Roman" w:eastAsia="Times New Roman"/>
                <w:b w:val="0"/>
                <w:sz w:val="17"/>
              </w:rPr>
              <w:t>The contribution is a compositional vocabulary, not a ranking of architectures. It separates what the data are, how they become model-visible and how they are fused, preventing source/carrier, lifecycle and hybrid-category errors. This makes heterogeneous models comparable and exposes underexplored interfaces for future design. Route counts describe the reviewed corpus, not effectiveness or field prevalence; annotations are provenance-linked repeated LLM decisions rather than human-validated ground truth.</w:t>
            </w:r>
          </w:p>
          <w:p>
            <w:pPr>
              <w:spacing w:before="20" w:after="20" w:line="192" w:lineRule="exact"/>
              <w:jc w:val="left"/>
            </w:pPr>
            <w:r>
              <w:rPr>
                <w:rFonts w:ascii="Arial" w:hAnsi="Arial" w:eastAsia="Arial"/>
                <w:b/>
                <w:sz w:val="17"/>
              </w:rPr>
              <w:t>AVAILABILITY</w:t>
            </w:r>
          </w:p>
          <w:p>
            <w:pPr>
              <w:spacing w:before="0" w:after="20" w:line="192" w:lineRule="exact"/>
              <w:jc w:val="left"/>
            </w:pPr>
            <w:r>
              <w:rPr>
                <w:rFonts w:ascii="Times New Roman" w:hAnsi="Times New Roman" w:eastAsia="Times New Roman"/>
                <w:b w:val="0"/>
                <w:sz w:val="17"/>
              </w:rPr>
              <w:t>Code, protocol and versioned artifacts: https://github.com/BogdanDidenko/text-bio-fundational-models-review</w:t>
            </w:r>
          </w:p>
          <w:p>
            <w:pPr>
              <w:spacing w:before="20" w:after="20" w:line="192" w:lineRule="exact"/>
              <w:jc w:val="left"/>
            </w:pPr>
            <w:r>
              <w:rPr>
                <w:rFonts w:ascii="Arial" w:hAnsi="Arial" w:eastAsia="Arial"/>
                <w:b/>
                <w:sz w:val="17"/>
              </w:rPr>
              <w:t>FUNDING</w:t>
            </w:r>
          </w:p>
          <w:p>
            <w:pPr>
              <w:spacing w:before="0" w:after="20" w:line="192" w:lineRule="exact"/>
              <w:jc w:val="left"/>
            </w:pPr>
            <w:r>
              <w:rPr>
                <w:rFonts w:ascii="Times New Roman" w:hAnsi="Times New Roman" w:eastAsia="Times New Roman"/>
                <w:b w:val="0"/>
                <w:sz w:val="17"/>
              </w:rPr>
              <w:t>[Funding information.]</w:t>
            </w:r>
          </w:p>
          <w:p>
            <w:pPr>
              <w:spacing w:before="20" w:after="20" w:line="192" w:lineRule="exact"/>
              <w:jc w:val="left"/>
            </w:pPr>
            <w:r>
              <w:rPr>
                <w:rFonts w:ascii="Arial" w:hAnsi="Arial" w:eastAsia="Arial"/>
                <w:b/>
                <w:sz w:val="17"/>
              </w:rPr>
              <w:t>REFERENCES</w:t>
            </w:r>
          </w:p>
          <w:p>
            <w:pPr>
              <w:spacing w:before="0" w:after="0" w:line="162" w:lineRule="exact"/>
              <w:ind w:left="0" w:right="0" w:firstLine="0"/>
              <w:jc w:val="left"/>
            </w:pPr>
            <w:r>
              <w:rPr>
                <w:rFonts w:ascii="Times New Roman" w:hAnsi="Times New Roman" w:eastAsia="Times New Roman"/>
                <w:b w:val="0"/>
                <w:sz w:val="14"/>
              </w:rPr>
              <w:t>Auer,C. et al. (2024) Docling technical report. arXiv:2408.09869.</w:t>
            </w:r>
          </w:p>
          <w:p>
            <w:pPr>
              <w:spacing w:before="0" w:after="0" w:line="162" w:lineRule="exact"/>
              <w:ind w:left="0" w:right="0" w:firstLine="0"/>
              <w:jc w:val="left"/>
            </w:pPr>
            <w:r>
              <w:rPr>
                <w:rFonts w:ascii="Times New Roman" w:hAnsi="Times New Roman" w:eastAsia="Times New Roman"/>
                <w:b w:val="0"/>
                <w:sz w:val="14"/>
              </w:rPr>
              <w:t>Moor,M. et al. (2023) Foundation models for generalist medical artificial intelligence. Nature, 616, 259-265.</w:t>
            </w:r>
          </w:p>
          <w:p>
            <w:pPr>
              <w:spacing w:before="0" w:after="0" w:line="162" w:lineRule="exact"/>
              <w:ind w:left="0" w:right="0" w:firstLine="0"/>
              <w:jc w:val="left"/>
            </w:pPr>
            <w:r>
              <w:rPr>
                <w:rFonts w:ascii="Times New Roman" w:hAnsi="Times New Roman" w:eastAsia="Times New Roman"/>
                <w:b w:val="0"/>
                <w:sz w:val="14"/>
              </w:rPr>
              <w:t>Rethlefsen,M.L. et al. (2021) PRISMA-S: an extension to the PRISMA Statement for reporting literature searches. Syst. Rev., 10, 39.</w:t>
            </w:r>
          </w:p>
          <w:p>
            <w:pPr>
              <w:spacing w:before="0" w:after="0" w:line="162" w:lineRule="exact"/>
              <w:ind w:left="0" w:right="0" w:firstLine="0"/>
              <w:jc w:val="left"/>
            </w:pPr>
            <w:r>
              <w:rPr>
                <w:rFonts w:ascii="Times New Roman" w:hAnsi="Times New Roman" w:eastAsia="Times New Roman"/>
                <w:b w:val="0"/>
                <w:sz w:val="14"/>
              </w:rPr>
              <w:t>Tricco,A.C. et al. (2018) PRISMA extension for scoping reviews (PRISMA-ScR). Ann. Intern. Med., 169, 467-473.</w:t>
            </w:r>
          </w:p>
        </w:tc>
      </w:tr>
    </w:tbl>
    <w:sectPr w:rsidR="00FC693F" w:rsidRPr="0006063C" w:rsidSect="00034616">
      <w:headerReference w:type="default" r:id="rId9"/>
      <w:footerReference w:type="default" r:id="rId10"/>
      <w:pgSz w:w="11906" w:h="16838"/>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Bdr>
        <w:top w:val="single" w:sz="4" w:space="2" w:color="888888"/>
      </w:pBdr>
    </w:pPr>
    <w:r>
      <w:rPr>
        <w:rFonts w:ascii="Times New Roman" w:hAnsi="Times New Roman"/>
        <w:b w:val="0"/>
        <w:i w:val="0"/>
        <w:color w:val="777777"/>
        <w:sz w:val="16"/>
      </w:rPr>
      <w:t>page</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center"/>
      <w:pBdr>
        <w:bottom w:val="single" w:sz="4" w:space="2" w:color="888888"/>
      </w:pBdr>
    </w:pPr>
    <w:r>
      <w:rPr>
        <w:rFonts w:ascii="Times New Roman" w:hAnsi="Times New Roman"/>
        <w:b w:val="0"/>
        <w:i/>
        <w:color w:val="1A1A1A"/>
        <w:sz w:val="16"/>
      </w:rPr>
      <w:t>The Health Intelligence Conference</w:t>
    </w:r>
    <w:r>
      <w:rPr>
        <w:rFonts w:ascii="Times New Roman" w:hAnsi="Times New Roman"/>
        <w:b w:val="0"/>
        <w:i w:val="0"/>
        <w:color w:val="1A1A1A"/>
        <w:sz w:val="16"/>
      </w:rPr>
      <w:t>, 2026, Vol. 1</w:t>
    </w:r>
    <w:r>
      <w:rPr>
        <w:rFonts w:ascii="Times New Roman" w:hAnsi="Times New Roman"/>
        <w:b w:val="0"/>
        <w:i w:val="0"/>
        <w:color w:val="777777"/>
        <w:sz w:val="16"/>
      </w:rPr>
      <w:t xml:space="preserve">  |  KSE 2026 Proceedings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