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467EDF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231A12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Dictionary </w:t>
      </w:r>
    </w:p>
    <w:p w:rsidR="004049D3" w:rsidRPr="0013351E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>(WBS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 Dictionary</w:t>
      </w:r>
      <w:r w:rsidRPr="0013351E">
        <w:rPr>
          <w:rFonts w:eastAsia="Times New Roman" w:cs="Times New Roman"/>
          <w:b/>
          <w:smallCaps/>
          <w:sz w:val="36"/>
          <w:szCs w:val="36"/>
        </w:rPr>
        <w:t xml:space="preserve">) 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D41ADB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6F206E" w:rsidRPr="006F206E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6F206E" w:rsidRPr="006F206E">
        <w:rPr>
          <w:rFonts w:asciiTheme="minorHAnsi" w:hAnsiTheme="minorHAnsi"/>
        </w:rPr>
        <w:fldChar w:fldCharType="separate"/>
      </w:r>
    </w:p>
    <w:p w:rsidR="00D41ADB" w:rsidRDefault="00D41A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7" w:history="1">
        <w:r w:rsidRPr="00A63A31">
          <w:rPr>
            <w:rStyle w:val="Hyperlink"/>
            <w:rFonts w:cs="Times New Roman"/>
            <w:smallCap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A63A31">
          <w:rPr>
            <w:rStyle w:val="Hyperlink"/>
            <w:smallCap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ADB" w:rsidRDefault="00D41A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8" w:history="1">
        <w:r w:rsidRPr="00A63A31">
          <w:rPr>
            <w:rStyle w:val="Hyperlink"/>
            <w:rFonts w:cs="Times New Roman"/>
            <w:smallCap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A63A31">
          <w:rPr>
            <w:rStyle w:val="Hyperlink"/>
            <w:smallCaps/>
            <w:noProof/>
          </w:rPr>
          <w:t>WBS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ADB" w:rsidRDefault="00D41A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9" w:history="1">
        <w:r w:rsidRPr="00A63A31">
          <w:rPr>
            <w:rStyle w:val="Hyperlink"/>
            <w:rFonts w:cs="Times New Roman"/>
            <w:smallCap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A63A31">
          <w:rPr>
            <w:rStyle w:val="Hyperlink"/>
            <w:smallCaps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ADB" w:rsidRDefault="00D41A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90" w:history="1">
        <w:r w:rsidRPr="00A63A31">
          <w:rPr>
            <w:rStyle w:val="Hyperlink"/>
            <w:rFonts w:cs="Times New Roman"/>
            <w:smallCap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A63A31">
          <w:rPr>
            <w:rStyle w:val="Hyperlink"/>
            <w:smallCaps/>
            <w:noProof/>
          </w:rPr>
          <w:t>Sponsor Acceptance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6F206E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87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231A12" w:rsidRPr="00231A12" w:rsidRDefault="00231A12" w:rsidP="00231A12"/>
    <w:p w:rsidR="00E70215" w:rsidRDefault="00E70215" w:rsidP="00E70215">
      <w:pPr>
        <w:rPr>
          <w:color w:val="008000"/>
        </w:rPr>
      </w:pPr>
    </w:p>
    <w:p w:rsidR="00231A12" w:rsidRPr="001835BC" w:rsidRDefault="00231A12" w:rsidP="00231A12">
      <w:pPr>
        <w:autoSpaceDE w:val="0"/>
        <w:autoSpaceDN w:val="0"/>
        <w:adjustRightInd w:val="0"/>
        <w:ind w:firstLine="360"/>
        <w:rPr>
          <w:lang w:val="en-US" w:eastAsia="en-US"/>
        </w:rPr>
      </w:pPr>
      <w:r w:rsidRPr="001835BC">
        <w:rPr>
          <w:lang w:val="en-US" w:eastAsia="en-US"/>
        </w:rPr>
        <w:t>The WBS dictionary is a document that provides detailed deliverable, activity, and scheduling</w:t>
      </w:r>
    </w:p>
    <w:p w:rsidR="00231A12" w:rsidRPr="0055761F" w:rsidRDefault="00231A12" w:rsidP="00231A12">
      <w:pPr>
        <w:autoSpaceDE w:val="0"/>
        <w:autoSpaceDN w:val="0"/>
        <w:adjustRightInd w:val="0"/>
        <w:rPr>
          <w:lang w:val="en-US" w:eastAsia="en-US"/>
        </w:rPr>
      </w:pPr>
      <w:r w:rsidRPr="001835BC">
        <w:rPr>
          <w:lang w:val="en-US" w:eastAsia="en-US"/>
        </w:rPr>
        <w:t xml:space="preserve">information about each component in the WBS. The WBS dictionary is a document that supports the WBS. Most of the information included in the WBS dictionary is created by other processes and </w:t>
      </w:r>
      <w:r w:rsidRPr="0055761F">
        <w:rPr>
          <w:lang w:val="en-US" w:eastAsia="en-US"/>
        </w:rPr>
        <w:t>added to this document at a later stage.</w:t>
      </w:r>
    </w:p>
    <w:p w:rsidR="00231A12" w:rsidRPr="0055761F" w:rsidRDefault="00231A12" w:rsidP="00231A12">
      <w:pPr>
        <w:autoSpaceDE w:val="0"/>
        <w:autoSpaceDN w:val="0"/>
        <w:adjustRightInd w:val="0"/>
        <w:ind w:firstLine="431"/>
        <w:rPr>
          <w:lang w:val="en-US" w:eastAsia="en-US"/>
        </w:rPr>
      </w:pPr>
      <w:r w:rsidRPr="0055761F">
        <w:rPr>
          <w:lang w:val="en-US" w:eastAsia="en-US"/>
        </w:rPr>
        <w:t>The WBS dictionary and related detailed statements of work provide an</w:t>
      </w:r>
      <w:r w:rsidR="004A353C" w:rsidRPr="004A353C">
        <w:rPr>
          <w:lang w:val="en-US" w:eastAsia="en-US"/>
        </w:rPr>
        <w:t xml:space="preserve"> </w:t>
      </w:r>
      <w:r w:rsidR="004A353C" w:rsidRPr="0055761F">
        <w:rPr>
          <w:lang w:val="en-US" w:eastAsia="en-US"/>
        </w:rPr>
        <w:t>identification of the deliverables and a description of the work in each WBS component required to produce each deliverable.</w:t>
      </w:r>
    </w:p>
    <w:p w:rsidR="00E70215" w:rsidRPr="006663BA" w:rsidRDefault="00E70215" w:rsidP="00E70215"/>
    <w:p w:rsidR="00E70215" w:rsidRDefault="00E70215" w:rsidP="00E70215">
      <w:r>
        <w:br w:type="page"/>
      </w:r>
    </w:p>
    <w:p w:rsidR="00E70215" w:rsidRDefault="002464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2588"/>
      <w:r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  <w:bookmarkEnd w:id="4"/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7"/>
        <w:gridCol w:w="960"/>
        <w:gridCol w:w="3459"/>
        <w:gridCol w:w="4654"/>
      </w:tblGrid>
      <w:tr w:rsidR="00455DE1" w:rsidRPr="009C3946" w:rsidTr="001234F2">
        <w:trPr>
          <w:cantSplit/>
          <w:tblHeader/>
        </w:trPr>
        <w:tc>
          <w:tcPr>
            <w:tcW w:w="827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Element Name</w:t>
            </w:r>
          </w:p>
        </w:tc>
        <w:tc>
          <w:tcPr>
            <w:tcW w:w="4654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Definition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Evaluation &amp; Recommendations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Gather information around th</w:t>
            </w:r>
            <w:r w:rsidR="0036492D" w:rsidRPr="00A22026">
              <w:rPr>
                <w:rFonts w:ascii="Arial" w:hAnsi="Arial" w:cs="Arial"/>
                <w:sz w:val="20"/>
                <w:szCs w:val="20"/>
              </w:rPr>
              <w:t>e main idea from the colleagues that are part of 1319 Department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1.1.2</w:t>
            </w:r>
          </w:p>
        </w:tc>
        <w:tc>
          <w:tcPr>
            <w:tcW w:w="3459" w:type="dxa"/>
          </w:tcPr>
          <w:p w:rsidR="00455DE1" w:rsidRPr="00A22026" w:rsidRDefault="00455DE1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Develop Project High Level Specs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Elaborate high-level information into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detailed plans throughout the project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</w:pPr>
            <w:r w:rsidRPr="00A22026">
              <w:rPr>
                <w:lang w:val="en-US" w:eastAsia="en-US"/>
              </w:rPr>
              <w:t>life cycle.</w:t>
            </w:r>
            <w:r w:rsidRPr="00A22026">
              <w:rPr>
                <w:lang w:val="en-US"/>
              </w:rPr>
              <w:t xml:space="preserve">  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1.1.3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High Level Specs Aproved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In the final meeting before KickOff, ensure that all the elements from the WBS are approved by the team.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Create Preliminary Scope Statement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The project scope statement is the description of the project scope, major deliverables, assumptions, and constraints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1.2.2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Determine Project Team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Estimate the number of people needed for developing the proposed project.</w:t>
            </w:r>
            <w:r w:rsidR="0036492D" w:rsidRPr="00A22026">
              <w:rPr>
                <w:rFonts w:eastAsia="Calibri"/>
                <w:lang w:val="en-US"/>
              </w:rPr>
              <w:t xml:space="preserve"> Including the number of students.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B80F3D" w:rsidP="001234F2">
            <w:r w:rsidRPr="00A22026">
              <w:t>1.2.3</w:t>
            </w:r>
          </w:p>
        </w:tc>
        <w:tc>
          <w:tcPr>
            <w:tcW w:w="3459" w:type="dxa"/>
          </w:tcPr>
          <w:p w:rsidR="00455DE1" w:rsidRPr="00A22026" w:rsidRDefault="00B80F3D" w:rsidP="001234F2">
            <w:r w:rsidRPr="00A22026">
              <w:rPr>
                <w:lang w:val="en-US"/>
              </w:rPr>
              <w:t>Project Kickoff Meeting</w:t>
            </w:r>
          </w:p>
        </w:tc>
        <w:tc>
          <w:tcPr>
            <w:tcW w:w="4654" w:type="dxa"/>
          </w:tcPr>
          <w:p w:rsidR="00455DE1" w:rsidRPr="00A22026" w:rsidRDefault="00B80F3D" w:rsidP="00BA5031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 kickoff meeting is the first meeting with the project team and the project manager.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1.2.4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Approve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Final approval from the 1319 Department team members.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1.2.5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Develop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Project Management Plan will de defined. It includes all the baselines deeded and agreed for this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Milestones Approved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Review the milestones, and approve them in the final meeting before KoM.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Procure Hardware/Software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Before the second week of the Internship Program, procure all the necessary Hardware and Software.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1.3.2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Kickoff Meeting with students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color w:val="222222"/>
                <w:shd w:val="clear" w:color="auto" w:fill="FFFFFF"/>
                <w:lang w:val="en-US"/>
              </w:rPr>
              <w:t>A </w:t>
            </w:r>
            <w:r w:rsidRPr="00A22026">
              <w:rPr>
                <w:bCs/>
                <w:color w:val="222222"/>
                <w:shd w:val="clear" w:color="auto" w:fill="FFFFFF"/>
                <w:lang w:val="en-US"/>
              </w:rPr>
              <w:t>kickoff meeting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is the first meeting with the project </w:t>
            </w:r>
            <w:r w:rsidRPr="00A22026">
              <w:rPr>
                <w:shd w:val="clear" w:color="auto" w:fill="FFFFFF"/>
                <w:lang w:val="en-US"/>
              </w:rPr>
              <w:t>team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and the </w:t>
            </w:r>
            <w:r w:rsidRPr="00A22026">
              <w:rPr>
                <w:shd w:val="clear" w:color="auto" w:fill="FFFFFF"/>
                <w:lang w:val="en-US"/>
              </w:rPr>
              <w:t>client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of the </w:t>
            </w:r>
            <w:r w:rsidRPr="00A22026">
              <w:rPr>
                <w:shd w:val="clear" w:color="auto" w:fill="FFFFFF"/>
                <w:lang w:val="en-US"/>
              </w:rPr>
              <w:t>project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. This meeting would follow definition of the base elements for the project and other </w:t>
            </w:r>
            <w:r w:rsidRPr="00A22026">
              <w:rPr>
                <w:shd w:val="clear" w:color="auto" w:fill="FFFFFF"/>
                <w:lang w:val="en-US"/>
              </w:rPr>
              <w:t>project planning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activities. This meeting introduces the members of the project team and the client and provides the opportunity to discuss the role of team member. 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1.3.3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More functionalities students meeting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After the KoM, hold one meeting with the students, and take in consideration their ideas about the improving and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1.3.4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Design Final System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Prepare all documents needed by the students, and approve/reject their proposals about the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1.3.5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Install Development Tools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Install I</w:t>
            </w:r>
            <w:r w:rsidR="00A22026" w:rsidRPr="00A22026">
              <w:rPr>
                <w:rFonts w:eastAsia="Calibri"/>
                <w:lang w:val="en-US"/>
              </w:rPr>
              <w:t>DE that is used for programming.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1.3</w:t>
            </w:r>
            <w:r w:rsidRPr="00A22026">
              <w:t>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Trainings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Ensure that each student is prepared for the assigned task. And if needed, train him about the specific area.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1.3.7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Implement modules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implement the proposed modules for the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1.3.8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Integration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integrate his/her module on the final project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1.3.9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Go Live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Make a short test to ensure that all the functionalities are implemented.</w:t>
            </w:r>
          </w:p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</w:p>
        </w:tc>
      </w:tr>
      <w:tr w:rsidR="00B80F3D" w:rsidRPr="009C3946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1.4.1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Status Meetings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Monitor and control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the work of producing the products,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services, or results that the project</w:t>
            </w:r>
          </w:p>
          <w:p w:rsidR="00B80F3D" w:rsidRPr="00A22026" w:rsidRDefault="00B80F3D" w:rsidP="001234F2">
            <w:pPr>
              <w:rPr>
                <w:rFonts w:eastAsia="Calibri"/>
              </w:rPr>
            </w:pPr>
            <w:r w:rsidRPr="00A22026">
              <w:rPr>
                <w:lang w:val="en-US" w:eastAsia="en-US"/>
              </w:rPr>
              <w:t>was undertaken to produce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1.5.1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Short System Test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Perform short test reports, that proves the full code coverage.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A22026" w:rsidP="001234F2">
            <w:r w:rsidRPr="00A22026">
              <w:t>1.5.2</w:t>
            </w:r>
          </w:p>
        </w:tc>
        <w:tc>
          <w:tcPr>
            <w:tcW w:w="3459" w:type="dxa"/>
          </w:tcPr>
          <w:p w:rsidR="00B80F3D" w:rsidRPr="00A22026" w:rsidRDefault="00A22026" w:rsidP="001234F2">
            <w:r w:rsidRPr="00A22026">
              <w:rPr>
                <w:lang w:val="en-US"/>
              </w:rPr>
              <w:t>Final Presentation Meeting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Students need to present their project in front of all colleagues from the department</w:t>
            </w:r>
            <w:r w:rsidR="00A22026" w:rsidRPr="00A22026">
              <w:rPr>
                <w:rFonts w:eastAsia="Calibri"/>
                <w:lang w:val="en-US"/>
              </w:rPr>
              <w:t xml:space="preserve"> 1319.</w:t>
            </w:r>
          </w:p>
        </w:tc>
      </w:tr>
    </w:tbl>
    <w:p w:rsidR="00455DE1" w:rsidRDefault="00455DE1" w:rsidP="00455DE1"/>
    <w:p w:rsidR="00455DE1" w:rsidRPr="00455DE1" w:rsidRDefault="00455DE1" w:rsidP="00455DE1"/>
    <w:p w:rsidR="00E70215" w:rsidRPr="006663BA" w:rsidRDefault="00E70215" w:rsidP="00E70215"/>
    <w:p w:rsidR="00E70215" w:rsidRDefault="00E70215" w:rsidP="00E70215"/>
    <w:p w:rsidR="00455DE1" w:rsidRDefault="00455DE1" w:rsidP="00455DE1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2589"/>
      <w:r>
        <w:rPr>
          <w:rFonts w:asciiTheme="minorHAnsi" w:hAnsiTheme="minorHAnsi"/>
          <w:smallCaps/>
          <w:sz w:val="28"/>
          <w:szCs w:val="28"/>
        </w:rPr>
        <w:lastRenderedPageBreak/>
        <w:t>Glossary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1710"/>
        <w:gridCol w:w="6751"/>
      </w:tblGrid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r>
              <w:t>Nr Crt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r>
              <w:t>Term</w:t>
            </w:r>
          </w:p>
        </w:tc>
        <w:tc>
          <w:tcPr>
            <w:tcW w:w="6751" w:type="dxa"/>
            <w:shd w:val="clear" w:color="auto" w:fill="auto"/>
          </w:tcPr>
          <w:p w:rsidR="00455DE1" w:rsidRDefault="00455DE1" w:rsidP="001234F2">
            <w:r>
              <w:t>Description</w:t>
            </w:r>
          </w:p>
        </w:tc>
      </w:tr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KoM</w:t>
            </w:r>
          </w:p>
        </w:tc>
        <w:tc>
          <w:tcPr>
            <w:tcW w:w="6751" w:type="dxa"/>
            <w:shd w:val="clear" w:color="auto" w:fill="auto"/>
          </w:tcPr>
          <w:p w:rsidR="00455DE1" w:rsidRPr="002D2692" w:rsidRDefault="00455DE1" w:rsidP="001234F2">
            <w:r>
              <w:t>Kick off Meeting</w:t>
            </w:r>
          </w:p>
        </w:tc>
      </w:tr>
    </w:tbl>
    <w:p w:rsidR="00455DE1" w:rsidRPr="00455DE1" w:rsidRDefault="00455DE1" w:rsidP="00455DE1"/>
    <w:p w:rsidR="00E70215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515458344"/>
      <w:bookmarkStart w:id="7" w:name="_Toc6062640"/>
      <w:bookmarkStart w:id="8" w:name="_Toc6072590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6"/>
      <w:bookmarkEnd w:id="7"/>
      <w:bookmarkEnd w:id="8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C3600F" w:rsidRPr="00E70215" w:rsidRDefault="00C3600F" w:rsidP="00857040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2CB" w:rsidRDefault="007B72CB">
      <w:r>
        <w:separator/>
      </w:r>
    </w:p>
  </w:endnote>
  <w:endnote w:type="continuationSeparator" w:id="0">
    <w:p w:rsidR="007B72CB" w:rsidRDefault="007B7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2CB" w:rsidRDefault="007B72CB">
      <w:r>
        <w:separator/>
      </w:r>
    </w:p>
  </w:footnote>
  <w:footnote w:type="continuationSeparator" w:id="0">
    <w:p w:rsidR="007B72CB" w:rsidRDefault="007B72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4049D3" w:rsidP="007222AC">
          <w:pPr>
            <w:jc w:val="center"/>
          </w:pPr>
          <w:r>
            <w:t xml:space="preserve">Work Breakdown Structure </w:t>
          </w:r>
          <w:r w:rsidR="00231A12">
            <w:t xml:space="preserve">Dictionary       </w:t>
          </w:r>
          <w:r>
            <w:t>(WBS</w:t>
          </w:r>
          <w:r w:rsidR="00231A12">
            <w:t xml:space="preserve"> Dictionary</w:t>
          </w:r>
          <w:r>
            <w:t>)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6F206E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41ADB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D41ADB" w:rsidRPr="00D41ADB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6F206E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1668B1"/>
    <w:multiLevelType w:val="hybridMultilevel"/>
    <w:tmpl w:val="32A666E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 w:numId="26">
    <w:abstractNumId w:val="2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57C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FDA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79A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1A12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64FB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1761A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6492D"/>
    <w:rsid w:val="00372043"/>
    <w:rsid w:val="00372CBC"/>
    <w:rsid w:val="00372FF3"/>
    <w:rsid w:val="00376261"/>
    <w:rsid w:val="003779B3"/>
    <w:rsid w:val="0038079A"/>
    <w:rsid w:val="0038160F"/>
    <w:rsid w:val="003823BB"/>
    <w:rsid w:val="00382DF2"/>
    <w:rsid w:val="003841AD"/>
    <w:rsid w:val="0038444F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9D3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5DE1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EDF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353C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3F2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06E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376C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2CB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57040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026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0F3D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031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E79FD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41ADB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5F73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EFFAD-5BBE-45DA-8338-3851C749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4150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526</cp:revision>
  <cp:lastPrinted>2016-06-30T14:08:00Z</cp:lastPrinted>
  <dcterms:created xsi:type="dcterms:W3CDTF">2018-12-17T12:34:00Z</dcterms:created>
  <dcterms:modified xsi:type="dcterms:W3CDTF">2019-04-13T15:29:00Z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