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74" w:rsidRPr="00196EB6" w:rsidRDefault="00C65729" w:rsidP="00CD2874">
      <w:pPr>
        <w:jc w:val="both"/>
        <w:rPr>
          <w:rFonts w:cstheme="minorHAnsi"/>
        </w:rPr>
      </w:pPr>
      <w:r>
        <w:rPr>
          <w:rFonts w:cstheme="minorHAnsi"/>
          <w:b/>
          <w:sz w:val="24"/>
          <w:szCs w:val="24"/>
        </w:rPr>
        <w:t>PLGA</w:t>
      </w:r>
      <w:bookmarkStart w:id="0" w:name="_GoBack"/>
      <w:bookmarkEnd w:id="0"/>
      <w:r w:rsidR="00CD2874" w:rsidRPr="00CD2874">
        <w:rPr>
          <w:rFonts w:cstheme="minorHAnsi"/>
          <w:b/>
          <w:sz w:val="24"/>
          <w:szCs w:val="24"/>
        </w:rPr>
        <w:t xml:space="preserve">. </w:t>
      </w:r>
      <w:r w:rsidR="00CD2874">
        <w:rPr>
          <w:rFonts w:cstheme="minorHAnsi"/>
          <w:sz w:val="24"/>
          <w:szCs w:val="24"/>
        </w:rPr>
        <w:t>T</w:t>
      </w:r>
      <w:r w:rsidR="00CD2874" w:rsidRPr="00ED710B">
        <w:rPr>
          <w:rFonts w:cstheme="minorHAnsi"/>
          <w:sz w:val="24"/>
          <w:szCs w:val="24"/>
        </w:rPr>
        <w:t xml:space="preserve">wo different </w:t>
      </w:r>
      <w:r w:rsidR="00CD2874">
        <w:rPr>
          <w:rFonts w:cstheme="minorHAnsi"/>
          <w:sz w:val="24"/>
          <w:szCs w:val="24"/>
        </w:rPr>
        <w:t xml:space="preserve">computational </w:t>
      </w:r>
      <w:r w:rsidR="00CD2874" w:rsidRPr="00ED710B">
        <w:rPr>
          <w:rFonts w:cstheme="minorHAnsi"/>
          <w:sz w:val="24"/>
          <w:szCs w:val="24"/>
        </w:rPr>
        <w:t>models are generated</w:t>
      </w:r>
      <w:r w:rsidR="00CD2874">
        <w:rPr>
          <w:rFonts w:cstheme="minorHAnsi"/>
          <w:sz w:val="24"/>
          <w:szCs w:val="24"/>
        </w:rPr>
        <w:t xml:space="preserve"> in order to simulate a drug transport from </w:t>
      </w:r>
      <w:r w:rsidR="00CD2874" w:rsidRPr="00E6638B">
        <w:rPr>
          <w:rFonts w:cstheme="minorHAnsi"/>
          <w:sz w:val="24"/>
          <w:szCs w:val="24"/>
        </w:rPr>
        <w:t>PLGA</w:t>
      </w:r>
      <w:r w:rsidR="00CD2874" w:rsidRPr="008F0A56">
        <w:rPr>
          <w:rFonts w:cstheme="minorHAnsi"/>
          <w:sz w:val="24"/>
          <w:szCs w:val="24"/>
          <w:vertAlign w:val="subscript"/>
        </w:rPr>
        <w:t>1</w:t>
      </w:r>
      <w:r w:rsidR="00CD2874" w:rsidRPr="00E6638B">
        <w:rPr>
          <w:rFonts w:cstheme="minorHAnsi"/>
          <w:sz w:val="24"/>
          <w:szCs w:val="24"/>
        </w:rPr>
        <w:t xml:space="preserve"> and PLGA</w:t>
      </w:r>
      <w:r w:rsidR="00CD2874" w:rsidRPr="008F0A56">
        <w:rPr>
          <w:rFonts w:cstheme="minorHAnsi"/>
          <w:sz w:val="24"/>
          <w:szCs w:val="24"/>
          <w:vertAlign w:val="subscript"/>
        </w:rPr>
        <w:t>2</w:t>
      </w:r>
      <w:r w:rsidR="00CD2874">
        <w:rPr>
          <w:rFonts w:cstheme="minorHAnsi"/>
          <w:sz w:val="24"/>
          <w:szCs w:val="24"/>
        </w:rPr>
        <w:t xml:space="preserve"> implants</w:t>
      </w:r>
      <w:r w:rsidR="00CD2874" w:rsidRPr="00ED710B">
        <w:rPr>
          <w:rFonts w:cstheme="minorHAnsi"/>
          <w:sz w:val="24"/>
          <w:szCs w:val="24"/>
        </w:rPr>
        <w:t xml:space="preserve">: (a) </w:t>
      </w:r>
      <w:r w:rsidR="00CD2874">
        <w:rPr>
          <w:rFonts w:cstheme="minorHAnsi"/>
          <w:sz w:val="24"/>
          <w:szCs w:val="24"/>
        </w:rPr>
        <w:t>a</w:t>
      </w:r>
      <w:r w:rsidR="00CD2874" w:rsidRPr="00ED710B">
        <w:rPr>
          <w:rFonts w:cstheme="minorHAnsi"/>
          <w:sz w:val="24"/>
          <w:szCs w:val="24"/>
        </w:rPr>
        <w:t xml:space="preserve"> detailed FE model with 1D radial elements and (b) a composite smeared finite element model with two different domains: </w:t>
      </w:r>
      <w:r w:rsidR="00CD2874">
        <w:rPr>
          <w:rFonts w:cstheme="minorHAnsi"/>
          <w:sz w:val="24"/>
          <w:szCs w:val="24"/>
        </w:rPr>
        <w:t>f</w:t>
      </w:r>
      <w:r w:rsidR="00CD2874" w:rsidRPr="00ED710B">
        <w:rPr>
          <w:rFonts w:cstheme="minorHAnsi"/>
          <w:sz w:val="24"/>
          <w:szCs w:val="24"/>
        </w:rPr>
        <w:t>iber domain and surrounding domain</w:t>
      </w:r>
      <w:r w:rsidR="00CD2874">
        <w:rPr>
          <w:rFonts w:cstheme="minorHAnsi"/>
          <w:sz w:val="24"/>
          <w:szCs w:val="24"/>
        </w:rPr>
        <w:t>. For the purpose of the detailed FE model, t</w:t>
      </w:r>
      <w:r w:rsidR="00CD2874" w:rsidRPr="00ED710B">
        <w:rPr>
          <w:rFonts w:cstheme="minorHAnsi"/>
          <w:sz w:val="24"/>
          <w:szCs w:val="24"/>
        </w:rPr>
        <w:t xml:space="preserve">he network of fibers is reconstructed using indoor software from an SEM image of </w:t>
      </w:r>
      <w:r w:rsidR="00CD2874">
        <w:rPr>
          <w:rFonts w:cstheme="minorHAnsi"/>
          <w:sz w:val="24"/>
          <w:szCs w:val="24"/>
        </w:rPr>
        <w:t xml:space="preserve">drug loaded PLGA fibers with dimensions </w:t>
      </w:r>
      <w:r w:rsidR="00CD2874" w:rsidRPr="00ED710B">
        <w:rPr>
          <w:rFonts w:cstheme="minorHAnsi"/>
          <w:sz w:val="24"/>
          <w:szCs w:val="24"/>
        </w:rPr>
        <w:t xml:space="preserve">90 µm × 90 µm, Figure </w:t>
      </w:r>
      <w:r w:rsidR="00CD2874">
        <w:rPr>
          <w:rFonts w:cstheme="minorHAnsi"/>
          <w:sz w:val="24"/>
          <w:szCs w:val="24"/>
        </w:rPr>
        <w:t xml:space="preserve">1a. </w:t>
      </w:r>
      <w:r w:rsidR="00CD2874" w:rsidRPr="00ED710B">
        <w:rPr>
          <w:rFonts w:cstheme="minorHAnsi"/>
          <w:sz w:val="24"/>
          <w:szCs w:val="24"/>
        </w:rPr>
        <w:t xml:space="preserve">By randomly duplicating and displacing the generated layer of 1D fibers into the longitudinal direction of the modeling domain, we can generate a mat of fibers within any implant (Figure </w:t>
      </w:r>
      <w:r w:rsidR="00CD2874">
        <w:rPr>
          <w:rFonts w:cstheme="minorHAnsi"/>
          <w:sz w:val="24"/>
          <w:szCs w:val="24"/>
        </w:rPr>
        <w:t>1b</w:t>
      </w:r>
      <w:r w:rsidR="00CD2874" w:rsidRPr="00ED710B">
        <w:rPr>
          <w:rFonts w:cstheme="minorHAnsi"/>
          <w:sz w:val="24"/>
          <w:szCs w:val="24"/>
        </w:rPr>
        <w:t>). Further, assuming symmetric conditions, we can model just one half of the implant. It is also reasonable to adopt a homogenous distribution (or repetition) of one small domain of the fibers, through which we can model just one part of the implant. Thus, the dimensions of our FE models are: 80 µm × 90 µm × 90 µm</w:t>
      </w:r>
      <w:r w:rsidR="00CD2874">
        <w:rPr>
          <w:rFonts w:cstheme="minorHAnsi"/>
          <w:sz w:val="24"/>
          <w:szCs w:val="24"/>
        </w:rPr>
        <w:t>.</w:t>
      </w:r>
      <w:r w:rsidR="00CD2874" w:rsidRPr="00196EB6">
        <w:rPr>
          <w:rFonts w:cstheme="minorHAnsi"/>
          <w:sz w:val="24"/>
          <w:szCs w:val="24"/>
        </w:rPr>
        <w:t xml:space="preserve"> The 3D FE mesh</w:t>
      </w:r>
      <w:r w:rsidR="00CD2874">
        <w:rPr>
          <w:rFonts w:cstheme="minorHAnsi"/>
          <w:sz w:val="24"/>
          <w:szCs w:val="24"/>
        </w:rPr>
        <w:t xml:space="preserve"> (</w:t>
      </w:r>
      <w:r w:rsidR="00CD2874" w:rsidRPr="008E0346">
        <w:rPr>
          <w:rFonts w:cstheme="minorHAnsi"/>
          <w:sz w:val="24"/>
          <w:szCs w:val="24"/>
        </w:rPr>
        <w:t>40 × 48 × 48 divisions</w:t>
      </w:r>
      <w:r w:rsidR="00CD2874">
        <w:rPr>
          <w:rFonts w:cstheme="minorHAnsi"/>
          <w:sz w:val="24"/>
          <w:szCs w:val="24"/>
        </w:rPr>
        <w:t>)</w:t>
      </w:r>
      <w:r w:rsidR="00CD2874" w:rsidRPr="00196EB6">
        <w:rPr>
          <w:rFonts w:cstheme="minorHAnsi"/>
          <w:sz w:val="24"/>
          <w:szCs w:val="24"/>
        </w:rPr>
        <w:t xml:space="preserve"> consists 64,512 nodes and 36,864 elements; while the number of radial 1D elements is around 7580.</w:t>
      </w:r>
      <w:r w:rsidR="00CD2874" w:rsidRPr="00196EB6">
        <w:rPr>
          <w:rFonts w:cstheme="minorHAnsi"/>
        </w:rPr>
        <w:t xml:space="preserve"> </w:t>
      </w:r>
    </w:p>
    <w:p w:rsidR="00CD2874" w:rsidRPr="00196EB6" w:rsidRDefault="00CD2874" w:rsidP="00CD2874">
      <w:pPr>
        <w:pStyle w:val="SDRMTextindented"/>
        <w:ind w:firstLine="0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196EB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CB0BC2" wp14:editId="1D8EC70D">
            <wp:extent cx="5861050" cy="202664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6.4.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" t="6083" r="3460" b="10087"/>
                    <a:stretch/>
                  </pic:blipFill>
                  <pic:spPr bwMode="auto">
                    <a:xfrm>
                      <a:off x="0" y="0"/>
                      <a:ext cx="5895842" cy="203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874" w:rsidRPr="00196EB6" w:rsidRDefault="00CD2874" w:rsidP="00CD2874">
      <w:pPr>
        <w:pStyle w:val="MDPI51figurecaption"/>
        <w:ind w:left="0" w:right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Fig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1. FE model of PLGA implant.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a)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3D 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domain  used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</w:rPr>
        <w:t xml:space="preserve"> in the model, with symmetry plane; b) Generated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FE model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using a SEM imaging sample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CD2874" w:rsidRDefault="00CD2874" w:rsidP="00CD2874">
      <w:pPr>
        <w:pStyle w:val="MDPI31text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196EB6">
        <w:rPr>
          <w:rFonts w:asciiTheme="minorHAnsi" w:hAnsiTheme="minorHAnsi" w:cstheme="minorHAnsi"/>
          <w:color w:val="auto"/>
          <w:sz w:val="24"/>
          <w:szCs w:val="24"/>
        </w:rPr>
        <w:t>It is taken that the diffusion coefficient of Span 80/</w:t>
      </w:r>
      <w:proofErr w:type="spellStart"/>
      <w:r w:rsidRPr="00196EB6">
        <w:rPr>
          <w:rFonts w:asciiTheme="minorHAnsi" w:hAnsiTheme="minorHAnsi" w:cstheme="minorHAnsi"/>
          <w:color w:val="auto"/>
          <w:sz w:val="24"/>
          <w:szCs w:val="24"/>
        </w:rPr>
        <w:t>RhB</w:t>
      </w:r>
      <w:proofErr w:type="spellEnd"/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in pore space is as in water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(</w:t>
      </w:r>
      <w:r w:rsidRPr="008E0346">
        <w:t xml:space="preserve"> </w:t>
      </w:r>
      <w:proofErr w:type="spellStart"/>
      <w:r w:rsidRPr="008E0346">
        <w:rPr>
          <w:rFonts w:asciiTheme="minorHAnsi" w:hAnsiTheme="minorHAnsi" w:cstheme="minorHAnsi"/>
          <w:color w:val="auto"/>
          <w:sz w:val="24"/>
          <w:szCs w:val="24"/>
        </w:rPr>
        <w:t>D</w:t>
      </w:r>
      <w:r w:rsidRPr="008E0346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liquid</w:t>
      </w:r>
      <w:proofErr w:type="spellEnd"/>
      <w:proofErr w:type="gramEnd"/>
      <w:r w:rsidRPr="008E0346">
        <w:rPr>
          <w:rFonts w:asciiTheme="minorHAnsi" w:hAnsiTheme="minorHAnsi" w:cstheme="minorHAnsi"/>
          <w:color w:val="auto"/>
          <w:sz w:val="24"/>
          <w:szCs w:val="24"/>
        </w:rPr>
        <w:t xml:space="preserve"> = 0.04 µm</w:t>
      </w:r>
      <w:r w:rsidRPr="008E0346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Pr="008E0346">
        <w:rPr>
          <w:rFonts w:asciiTheme="minorHAnsi" w:hAnsiTheme="minorHAnsi" w:cstheme="minorHAnsi"/>
          <w:color w:val="auto"/>
          <w:sz w:val="24"/>
          <w:szCs w:val="24"/>
        </w:rPr>
        <w:t>/s</w:t>
      </w:r>
      <w:r>
        <w:rPr>
          <w:rFonts w:asciiTheme="minorHAnsi" w:hAnsiTheme="minorHAnsi" w:cstheme="minorHAnsi"/>
          <w:color w:val="auto"/>
          <w:sz w:val="24"/>
          <w:szCs w:val="24"/>
        </w:rPr>
        <w:t>)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, and within fibers </w:t>
      </w:r>
      <w:proofErr w:type="spellStart"/>
      <w:r w:rsidRPr="00196EB6">
        <w:rPr>
          <w:rFonts w:asciiTheme="minorHAnsi" w:hAnsiTheme="minorHAnsi" w:cstheme="minorHAnsi"/>
          <w:i/>
          <w:color w:val="auto"/>
          <w:sz w:val="24"/>
          <w:szCs w:val="24"/>
        </w:rPr>
        <w:t>D</w:t>
      </w:r>
      <w:r w:rsidRPr="00196EB6">
        <w:rPr>
          <w:rFonts w:asciiTheme="minorHAnsi" w:hAnsiTheme="minorHAnsi" w:cstheme="minorHAnsi"/>
          <w:i/>
          <w:color w:val="auto"/>
          <w:sz w:val="24"/>
          <w:szCs w:val="24"/>
          <w:vertAlign w:val="subscript"/>
        </w:rPr>
        <w:t>fib</w:t>
      </w:r>
      <w:proofErr w:type="spellEnd"/>
      <w:r w:rsidRPr="00196EB6">
        <w:rPr>
          <w:rFonts w:asciiTheme="minorHAnsi" w:hAnsiTheme="minorHAnsi" w:cstheme="minorHAnsi"/>
          <w:i/>
          <w:color w:val="auto"/>
          <w:sz w:val="24"/>
          <w:szCs w:val="24"/>
        </w:rPr>
        <w:t xml:space="preserve">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= 4 × 10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−10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cm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/s </w:t>
      </w:r>
      <w:r>
        <w:rPr>
          <w:rFonts w:asciiTheme="minorHAnsi" w:hAnsiTheme="minorHAnsi" w:cstheme="minorHAnsi"/>
          <w:color w:val="auto"/>
          <w:sz w:val="24"/>
          <w:szCs w:val="24"/>
        </w:rPr>
        <w:t>(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approximately 104 times lower than in water</w:t>
      </w:r>
      <w:r>
        <w:rPr>
          <w:rFonts w:asciiTheme="minorHAnsi" w:hAnsiTheme="minorHAnsi" w:cstheme="minorHAnsi"/>
          <w:color w:val="auto"/>
          <w:sz w:val="24"/>
          <w:szCs w:val="24"/>
        </w:rPr>
        <w:t>), according to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Ruiz-Esparza</w:t>
      </w:r>
      <w:r w:rsidRPr="00196EB6">
        <w:rPr>
          <w:rFonts w:asciiTheme="minorHAnsi" w:hAnsiTheme="minorHAnsi" w:cstheme="minorHAnsi"/>
          <w:sz w:val="24"/>
          <w:szCs w:val="24"/>
        </w:rPr>
        <w:t>, et al. 2014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.</w:t>
      </w:r>
      <w:r w:rsidRPr="00196EB6">
        <w:rPr>
          <w:rFonts w:asciiTheme="minorHAnsi" w:hAnsiTheme="minorHAnsi" w:cstheme="minorHAnsi"/>
          <w:color w:val="auto"/>
        </w:rPr>
        <w:t xml:space="preserve">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The time period of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simulation was 75 days (15 time steps with 5 days each).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Initial concentration in fibers is </w:t>
      </w:r>
      <w:r w:rsidRPr="00647F0B">
        <w:rPr>
          <w:rFonts w:asciiTheme="minorHAnsi" w:hAnsiTheme="minorHAnsi" w:cstheme="minorHAnsi"/>
          <w:color w:val="auto"/>
          <w:sz w:val="24"/>
          <w:szCs w:val="24"/>
        </w:rPr>
        <w:t>C</w:t>
      </w:r>
      <w:r w:rsidRPr="00647F0B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0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=</w:t>
      </w:r>
      <w:r>
        <w:rPr>
          <w:rFonts w:asciiTheme="minorHAnsi" w:hAnsiTheme="minorHAnsi" w:cstheme="minorHAnsi"/>
          <w:color w:val="auto"/>
          <w:sz w:val="24"/>
          <w:szCs w:val="24"/>
        </w:rPr>
        <w:t>1.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The boundary conditions of the model are: </w:t>
      </w:r>
      <w:r>
        <w:rPr>
          <w:rFonts w:asciiTheme="minorHAnsi" w:hAnsiTheme="minorHAnsi" w:cstheme="minorHAnsi"/>
          <w:color w:val="auto"/>
          <w:sz w:val="24"/>
          <w:szCs w:val="24"/>
        </w:rPr>
        <w:t>Boundary conditions are: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no flux through model boundaries except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C = 0 at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outer boundary of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implant (boundary where mass release is measured).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The m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ean diameter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of the fibers is taken as D = 2.5 µm.</w:t>
      </w:r>
    </w:p>
    <w:p w:rsidR="00CD2874" w:rsidRDefault="00CD2874" w:rsidP="00CD2874">
      <w:pPr>
        <w:pStyle w:val="MDPI31text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composite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smeared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FE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model consists of two domains: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a) f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iber domain—</w:t>
      </w:r>
      <w:r>
        <w:rPr>
          <w:rFonts w:asciiTheme="minorHAnsi" w:hAnsiTheme="minorHAnsi" w:cstheme="minorHAnsi"/>
          <w:color w:val="auto"/>
          <w:sz w:val="24"/>
          <w:szCs w:val="24"/>
        </w:rPr>
        <w:t>an equivalent domain of fibers; and b) s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urrounding domain—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an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equivalent “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pore” space surrounding fibers.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The detailed and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the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corresponding smeared model are shown </w:t>
      </w:r>
      <w:r>
        <w:rPr>
          <w:rFonts w:asciiTheme="minorHAnsi" w:hAnsiTheme="minorHAnsi" w:cstheme="minorHAnsi"/>
          <w:color w:val="auto"/>
          <w:sz w:val="24"/>
          <w:szCs w:val="24"/>
        </w:rPr>
        <w:t>i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n Figure </w:t>
      </w:r>
      <w:r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CD2874" w:rsidRPr="00196EB6" w:rsidRDefault="00CD2874" w:rsidP="00CD2874">
      <w:pPr>
        <w:pStyle w:val="MDPI31text"/>
        <w:ind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196EB6">
        <w:rPr>
          <w:rFonts w:asciiTheme="minorHAnsi" w:hAnsiTheme="minorHAnsi" w:cstheme="minorHAnsi"/>
          <w:noProof/>
          <w:color w:val="auto"/>
          <w:szCs w:val="24"/>
          <w:lang w:eastAsia="en-US"/>
        </w:rPr>
        <w:lastRenderedPageBreak/>
        <w:drawing>
          <wp:inline distT="0" distB="0" distL="0" distR="0" wp14:anchorId="5032CC46" wp14:editId="47D38866">
            <wp:extent cx="4864059" cy="152947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57" cy="15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74" w:rsidRPr="00196EB6" w:rsidRDefault="00CD2874" w:rsidP="00CD2874">
      <w:pPr>
        <w:pStyle w:val="MDPI51figurecaption"/>
        <w:ind w:left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Fig. 2</w:t>
      </w:r>
      <w:r w:rsidRPr="00196EB6">
        <w:rPr>
          <w:rFonts w:asciiTheme="minorHAnsi" w:hAnsiTheme="minorHAnsi" w:cstheme="minorHAnsi"/>
          <w:b/>
          <w:color w:val="auto"/>
          <w:sz w:val="24"/>
          <w:szCs w:val="24"/>
        </w:rPr>
        <w:t>.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PLGA domain modeled using a smeared composite finite element or detailed model with the mesh of fibers.</w:t>
      </w:r>
    </w:p>
    <w:p w:rsidR="00CD2874" w:rsidRPr="00196EB6" w:rsidRDefault="00CD2874" w:rsidP="00CD2874">
      <w:pPr>
        <w:pStyle w:val="MDPI31text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o determine the diffusion coefficient for the surrounding domain, a numerical homogenization procedure was performed according to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03CF8">
        <w:rPr>
          <w:rFonts w:asciiTheme="minorHAnsi" w:hAnsiTheme="minorHAnsi" w:cstheme="minorHAnsi"/>
          <w:color w:val="auto"/>
          <w:sz w:val="24"/>
          <w:szCs w:val="24"/>
        </w:rPr>
        <w:t>Ziemys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et al. 2011 and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Kojic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et al. 2014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. It was found that diffusion is reduced in the surrounding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due to the attractive forces between fibers and diffusion molecules, and also by the presence of fibers in the system. The equivalent diffusion coefficient in the surrounding domain </w:t>
      </w:r>
      <w:r>
        <w:rPr>
          <w:rFonts w:asciiTheme="minorHAnsi" w:hAnsiTheme="minorHAnsi" w:cstheme="minorHAnsi"/>
          <w:color w:val="auto"/>
          <w:sz w:val="24"/>
          <w:szCs w:val="24"/>
        </w:rPr>
        <w:t>and t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he parameters used in </w:t>
      </w:r>
      <w:r>
        <w:rPr>
          <w:rFonts w:asciiTheme="minorHAnsi" w:hAnsiTheme="minorHAnsi" w:cstheme="minorHAnsi"/>
          <w:color w:val="auto"/>
          <w:sz w:val="24"/>
          <w:szCs w:val="24"/>
        </w:rPr>
        <w:t>the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composite smeared finite element (CSFE) model are:</w:t>
      </w:r>
    </w:p>
    <w:p w:rsidR="00CD2874" w:rsidRDefault="00CD2874" w:rsidP="00CD2874">
      <w:pPr>
        <w:pStyle w:val="MDPI31text"/>
        <w:numPr>
          <w:ilvl w:val="0"/>
          <w:numId w:val="2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quivalent diffusion coefficient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of drug</w:t>
      </w:r>
      <w:r>
        <w:rPr>
          <w:rFonts w:asciiTheme="minorHAnsi" w:hAnsiTheme="minorHAnsi" w:cstheme="minorHAnsi"/>
          <w:color w:val="auto"/>
          <w:sz w:val="24"/>
          <w:szCs w:val="24"/>
        </w:rPr>
        <w:t>: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196EB6">
        <w:rPr>
          <w:rFonts w:asciiTheme="minorHAnsi" w:hAnsiTheme="minorHAnsi" w:cstheme="minorHAnsi"/>
          <w:color w:val="auto"/>
          <w:sz w:val="24"/>
          <w:szCs w:val="24"/>
        </w:rPr>
        <w:t>D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liquid</w:t>
      </w:r>
      <w:proofErr w:type="spellEnd"/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= 0.004 µm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/s;</w:t>
      </w:r>
    </w:p>
    <w:p w:rsidR="00CD2874" w:rsidRPr="00196EB6" w:rsidRDefault="00CD2874" w:rsidP="00CD2874">
      <w:pPr>
        <w:pStyle w:val="MDPI31text"/>
        <w:numPr>
          <w:ilvl w:val="0"/>
          <w:numId w:val="2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v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olume fraction of fibers</w:t>
      </w:r>
      <w:r w:rsidRPr="00647F0B">
        <w:t xml:space="preserve"> </w:t>
      </w:r>
      <w:r>
        <w:t xml:space="preserve">in </w:t>
      </w:r>
      <w:r>
        <w:rPr>
          <w:rFonts w:asciiTheme="minorHAnsi" w:hAnsiTheme="minorHAnsi" w:cstheme="minorHAnsi"/>
          <w:color w:val="auto"/>
          <w:sz w:val="24"/>
          <w:szCs w:val="24"/>
        </w:rPr>
        <w:t>PLGA layer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r w:rsidRPr="00196EB6">
        <w:rPr>
          <w:rFonts w:asciiTheme="minorHAnsi" w:hAnsiTheme="minorHAnsi" w:cstheme="minorHAnsi"/>
          <w:i/>
          <w:color w:val="auto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25pt;height:21.7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61757889" r:id="rId8"/>
        </w:objec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= 0.4223;</w:t>
      </w:r>
    </w:p>
    <w:p w:rsidR="00CD2874" w:rsidRPr="00196EB6" w:rsidRDefault="00CD2874" w:rsidP="00CD2874">
      <w:pPr>
        <w:pStyle w:val="MDPI31text"/>
        <w:numPr>
          <w:ilvl w:val="0"/>
          <w:numId w:val="2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ean diameter of fibers: D = 2.5 µm;</w:t>
      </w:r>
    </w:p>
    <w:p w:rsidR="00CD2874" w:rsidRPr="00196EB6" w:rsidRDefault="00CD2874" w:rsidP="00CD2874">
      <w:pPr>
        <w:pStyle w:val="MDPI31text"/>
        <w:numPr>
          <w:ilvl w:val="0"/>
          <w:numId w:val="2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iffusion coefficient within PLGA fiber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196EB6">
        <w:rPr>
          <w:rFonts w:asciiTheme="minorHAnsi" w:hAnsiTheme="minorHAnsi" w:cstheme="minorHAnsi"/>
          <w:color w:val="auto"/>
          <w:sz w:val="24"/>
          <w:szCs w:val="24"/>
        </w:rPr>
        <w:t>D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wall</w:t>
      </w:r>
      <w:proofErr w:type="spellEnd"/>
      <w:r w:rsidRPr="00196EB6">
        <w:rPr>
          <w:rFonts w:asciiTheme="minorHAnsi" w:hAnsiTheme="minorHAnsi" w:cstheme="minorHAnsi"/>
          <w:color w:val="auto"/>
          <w:sz w:val="24"/>
          <w:szCs w:val="24"/>
        </w:rPr>
        <w:t xml:space="preserve"> = 0.04 µm</w:t>
      </w:r>
      <w:r w:rsidRPr="00196EB6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/s;</w:t>
      </w:r>
    </w:p>
    <w:p w:rsidR="00CD2874" w:rsidRPr="008F0A56" w:rsidRDefault="00CD2874" w:rsidP="00CD2874">
      <w:pPr>
        <w:pStyle w:val="MDPI31text"/>
        <w:numPr>
          <w:ilvl w:val="0"/>
          <w:numId w:val="2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</w:t>
      </w:r>
      <w:r w:rsidRPr="00647F0B">
        <w:rPr>
          <w:rFonts w:asciiTheme="minorHAnsi" w:hAnsiTheme="minorHAnsi" w:cstheme="minorHAnsi"/>
          <w:color w:val="auto"/>
          <w:sz w:val="24"/>
          <w:szCs w:val="24"/>
        </w:rPr>
        <w:t>oefficient of hydrophobicity (partitioning)</w:t>
      </w:r>
      <w:r w:rsidRPr="00196EB6">
        <w:rPr>
          <w:rFonts w:asciiTheme="minorHAnsi" w:hAnsiTheme="minorHAnsi" w:cstheme="minorHAnsi"/>
          <w:color w:val="auto"/>
          <w:sz w:val="24"/>
          <w:szCs w:val="24"/>
        </w:rPr>
        <w:t>: P = 1.</w:t>
      </w:r>
    </w:p>
    <w:p w:rsidR="00CD2874" w:rsidRDefault="00CD2874" w:rsidP="00CD2874">
      <w:pPr>
        <w:jc w:val="both"/>
        <w:rPr>
          <w:rFonts w:cstheme="minorHAnsi"/>
          <w:sz w:val="24"/>
          <w:szCs w:val="24"/>
        </w:rPr>
      </w:pPr>
      <w:r w:rsidRPr="00845FB6">
        <w:rPr>
          <w:rFonts w:cstheme="minorHAnsi"/>
          <w:color w:val="000000" w:themeColor="text1"/>
          <w:sz w:val="24"/>
          <w:szCs w:val="24"/>
        </w:rPr>
        <w:t>Concentrations for both detailed and smeared models of PLGA</w:t>
      </w:r>
      <w:r w:rsidRPr="00845FB6">
        <w:rPr>
          <w:rFonts w:cstheme="minorHAnsi"/>
          <w:color w:val="000000" w:themeColor="text1"/>
          <w:sz w:val="24"/>
          <w:szCs w:val="24"/>
          <w:vertAlign w:val="subscript"/>
        </w:rPr>
        <w:t>1</w:t>
      </w:r>
      <w:r w:rsidRPr="00845FB6">
        <w:rPr>
          <w:rFonts w:cstheme="minorHAnsi"/>
          <w:color w:val="000000" w:themeColor="text1"/>
          <w:sz w:val="24"/>
          <w:szCs w:val="24"/>
        </w:rPr>
        <w:t xml:space="preserve"> are shown in Figur</w:t>
      </w:r>
      <w:r>
        <w:rPr>
          <w:rFonts w:cstheme="minorHAnsi"/>
          <w:color w:val="000000" w:themeColor="text1"/>
          <w:sz w:val="24"/>
          <w:szCs w:val="24"/>
        </w:rPr>
        <w:t>e</w:t>
      </w:r>
      <w:r w:rsidRPr="00845FB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3</w:t>
      </w:r>
      <w:r w:rsidRPr="00845FB6">
        <w:rPr>
          <w:rFonts w:cstheme="minorHAnsi"/>
          <w:color w:val="000000" w:themeColor="text1"/>
          <w:sz w:val="24"/>
          <w:szCs w:val="24"/>
        </w:rPr>
        <w:t xml:space="preserve">, </w:t>
      </w:r>
      <w:r w:rsidRPr="00196EB6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the fiber </w:t>
      </w:r>
      <w:r w:rsidRPr="00196EB6">
        <w:rPr>
          <w:rFonts w:cstheme="minorHAnsi"/>
          <w:sz w:val="24"/>
          <w:szCs w:val="24"/>
        </w:rPr>
        <w:t>and the surrounding domain, in a period of 75 days. It can be seen that there are small differences between the two models; hence, the smeared modeling concept can be used for the prediction of drug transport from drug impregnated nanofibers.</w:t>
      </w:r>
    </w:p>
    <w:p w:rsidR="00CD2874" w:rsidRPr="00196EB6" w:rsidRDefault="00CD2874" w:rsidP="00CD2874">
      <w:pPr>
        <w:jc w:val="center"/>
        <w:rPr>
          <w:rFonts w:cstheme="minorHAnsi"/>
          <w:sz w:val="24"/>
          <w:szCs w:val="24"/>
        </w:rPr>
      </w:pPr>
      <w:r w:rsidRPr="00196EB6">
        <w:rPr>
          <w:rFonts w:cstheme="minorHAnsi"/>
          <w:b/>
          <w:noProof/>
          <w:szCs w:val="24"/>
        </w:rPr>
        <w:drawing>
          <wp:inline distT="0" distB="0" distL="0" distR="0" wp14:anchorId="7B501CDE" wp14:editId="4B705ECB">
            <wp:extent cx="4344721" cy="207722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03" cy="20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69" w:rsidRPr="00CD2874" w:rsidRDefault="00CD2874" w:rsidP="00CD2874">
      <w:pPr>
        <w:jc w:val="center"/>
      </w:pPr>
      <w:r w:rsidRPr="001D7A6B">
        <w:rPr>
          <w:rFonts w:cstheme="minorHAnsi"/>
          <w:b/>
          <w:sz w:val="24"/>
          <w:szCs w:val="24"/>
        </w:rPr>
        <w:t xml:space="preserve">Figure </w:t>
      </w:r>
      <w:r>
        <w:rPr>
          <w:rFonts w:cstheme="minorHAnsi"/>
          <w:b/>
          <w:sz w:val="24"/>
          <w:szCs w:val="24"/>
        </w:rPr>
        <w:t>3</w:t>
      </w:r>
      <w:r w:rsidRPr="00196EB6">
        <w:rPr>
          <w:rFonts w:cstheme="minorHAnsi"/>
          <w:b/>
          <w:sz w:val="24"/>
          <w:szCs w:val="24"/>
        </w:rPr>
        <w:t>.</w:t>
      </w:r>
      <w:r w:rsidRPr="00196EB6">
        <w:rPr>
          <w:rFonts w:cstheme="minorHAnsi"/>
          <w:sz w:val="24"/>
          <w:szCs w:val="24"/>
        </w:rPr>
        <w:t xml:space="preserve"> PLGA implant—concentration field </w:t>
      </w:r>
      <w:r w:rsidRPr="00DF2BA0">
        <w:rPr>
          <w:rFonts w:cstheme="minorHAnsi"/>
          <w:color w:val="000000" w:themeColor="text1"/>
          <w:sz w:val="24"/>
          <w:szCs w:val="24"/>
        </w:rPr>
        <w:t xml:space="preserve">in the fibers, </w:t>
      </w:r>
      <w:r w:rsidRPr="00196EB6">
        <w:rPr>
          <w:rFonts w:cstheme="minorHAnsi"/>
          <w:sz w:val="24"/>
          <w:szCs w:val="24"/>
        </w:rPr>
        <w:t>for the detailed and smeared model, for the diffusion of Span-80/</w:t>
      </w:r>
      <w:proofErr w:type="spellStart"/>
      <w:r w:rsidRPr="00196EB6">
        <w:rPr>
          <w:rFonts w:cstheme="minorHAnsi"/>
          <w:sz w:val="24"/>
          <w:szCs w:val="24"/>
        </w:rPr>
        <w:t>RhB</w:t>
      </w:r>
      <w:proofErr w:type="spellEnd"/>
      <w:r w:rsidRPr="00196EB6">
        <w:rPr>
          <w:rFonts w:cstheme="minorHAnsi"/>
          <w:sz w:val="24"/>
          <w:szCs w:val="24"/>
        </w:rPr>
        <w:t xml:space="preserve"> complex within the PLGA implant</w:t>
      </w:r>
      <w:r>
        <w:rPr>
          <w:rFonts w:cstheme="minorHAnsi"/>
          <w:sz w:val="24"/>
          <w:szCs w:val="24"/>
        </w:rPr>
        <w:t>.</w:t>
      </w:r>
    </w:p>
    <w:sectPr w:rsidR="00BA7D69" w:rsidRPr="00C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12E"/>
    <w:multiLevelType w:val="hybridMultilevel"/>
    <w:tmpl w:val="C146201E"/>
    <w:lvl w:ilvl="0" w:tplc="BA3C2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8315B"/>
    <w:multiLevelType w:val="hybridMultilevel"/>
    <w:tmpl w:val="4EE89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I2NLAwMTIxMDVQ0lEKTi0uzszPAykwrAUApvCHmSwAAAA="/>
  </w:docVars>
  <w:rsids>
    <w:rsidRoot w:val="00276801"/>
    <w:rsid w:val="000E45C9"/>
    <w:rsid w:val="00276801"/>
    <w:rsid w:val="002D26E8"/>
    <w:rsid w:val="003C4A79"/>
    <w:rsid w:val="0044312C"/>
    <w:rsid w:val="00503D6F"/>
    <w:rsid w:val="006743EA"/>
    <w:rsid w:val="007A1FE7"/>
    <w:rsid w:val="0088634D"/>
    <w:rsid w:val="00BA7D69"/>
    <w:rsid w:val="00C65729"/>
    <w:rsid w:val="00CB08BE"/>
    <w:rsid w:val="00CD2874"/>
    <w:rsid w:val="00D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EE3A"/>
  <w15:docId w15:val="{9121FC13-695E-4251-918A-26A982B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69"/>
    <w:rPr>
      <w:rFonts w:ascii="Tahoma" w:hAnsi="Tahoma" w:cs="Tahoma"/>
      <w:sz w:val="16"/>
      <w:szCs w:val="16"/>
    </w:rPr>
  </w:style>
  <w:style w:type="paragraph" w:customStyle="1" w:styleId="SDRMTextindented">
    <w:name w:val="SDRM Text indented"/>
    <w:basedOn w:val="Normal"/>
    <w:rsid w:val="00CD2874"/>
    <w:pPr>
      <w:spacing w:before="120"/>
      <w:ind w:firstLine="357"/>
      <w:jc w:val="both"/>
    </w:pPr>
    <w:rPr>
      <w:rFonts w:ascii="Cambria" w:eastAsia="Cambria" w:hAnsi="Cambria" w:cs="Cambria"/>
      <w:sz w:val="20"/>
      <w:szCs w:val="20"/>
    </w:rPr>
  </w:style>
  <w:style w:type="paragraph" w:customStyle="1" w:styleId="MDPI31text">
    <w:name w:val="MDPI_3.1_text"/>
    <w:uiPriority w:val="99"/>
    <w:rsid w:val="00CD2874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SimSun" w:hAnsi="Palatino Linotype" w:cs="Times New Roman"/>
      <w:color w:val="000000"/>
      <w:sz w:val="20"/>
      <w:lang w:eastAsia="de-DE"/>
    </w:rPr>
  </w:style>
  <w:style w:type="paragraph" w:customStyle="1" w:styleId="MDPI51figurecaption">
    <w:name w:val="MDPI_5.1_figure_caption"/>
    <w:basedOn w:val="Normal"/>
    <w:uiPriority w:val="99"/>
    <w:rsid w:val="00CD2874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SimSun" w:hAnsi="Palatino Linotype"/>
      <w:color w:val="00000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Simic</dc:creator>
  <cp:keywords/>
  <dc:description/>
  <cp:lastModifiedBy>My komp</cp:lastModifiedBy>
  <cp:revision>6</cp:revision>
  <dcterms:created xsi:type="dcterms:W3CDTF">2023-11-17T12:57:00Z</dcterms:created>
  <dcterms:modified xsi:type="dcterms:W3CDTF">2023-11-17T19:20:00Z</dcterms:modified>
</cp:coreProperties>
</file>