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KONA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ČAN 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{brojUcesnikaOffline}{/}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onlinePoreskaOsnovica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offlinePoreskaOsnovica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00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Avansni ra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  <w:lang w:val="sr-Latn-RS"/>
              </w:rPr>
              <w:t xml:space="preserve">čun br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linkedPozivNaBroj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  <w:lang w:val="sr-Latn-R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od {datumUplateAvansa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{avansBezPdv}{/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}{avansPdv}{/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}{avans}{/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70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ćanje: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{ukupnaNaknada}{/}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</w:tbl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M.P. ___________________________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(odgovorno lice)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Mesto i datum izdavanja računa: Beograd, {datumIzdavanjaRacuna}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modified xsi:type="dcterms:W3CDTF">2025-05-28T07:14:34Z</dcterms:modified>
</cp:coreProperties>
</file>