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MB:{maticniBroj}{/primalacRacuna}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{popustOffline}%{/seminar}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/calculations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  <w:br/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2025-05-10T13:32:36Z</dcterms:modified>
</cp:coreProperties>
</file>