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object w:dxaOrig="6985" w:dyaOrig="1113">
          <v:rect xmlns:o="urn:schemas-microsoft-com:office:office" xmlns:v="urn:schemas-microsoft-com:vml" id="rectole0000000000" style="width:349.250000pt;height:55.6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9465"/>
      </w:tblGrid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{izdavacRacunaNaziv}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{izdavacRacunaKontaktTelefoni}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PIB: {izdavacRacunaPib}; Mati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čni broj: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{izdavacRacunaMaticniBroj}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;</w:t>
            </w:r>
          </w:p>
          <w:p>
            <w:pPr>
              <w:spacing w:before="0" w:after="0" w:line="279"/>
              <w:ind w:right="0" w:left="-55" w:firstLine="0"/>
              <w:jc w:val="center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Teku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ći računi: </w:t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{izdavacRacunaTekuciRacun}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465"/>
      </w:tblGrid>
      <w:tr>
        <w:trPr>
          <w:trHeight w:val="54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12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Primalac ra</w:t>
            </w: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čuna:</w:t>
            </w:r>
          </w:p>
        </w:tc>
      </w:tr>
      <w:tr>
        <w:trPr>
          <w:trHeight w:val="300" w:hRule="auto"/>
          <w:jc w:val="left"/>
        </w:trPr>
        <w:tc>
          <w:tcPr>
            <w:tcW w:w="946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top"/>
          </w:tcPr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{mesto}, {adresa}</w:t>
            </w:r>
          </w:p>
          <w:p>
            <w:pPr>
              <w:spacing w:before="0" w:after="0" w:line="279"/>
              <w:ind w:right="0" w:left="-55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PIB:{pib}  MB:{maticniBroj}</w:t>
            </w:r>
          </w:p>
        </w:tc>
      </w:tr>
    </w:tbl>
    <w:p>
      <w:pPr>
        <w:spacing w:before="567" w:after="567" w:line="279"/>
        <w:ind w:right="567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u w:val="single"/>
          <w:shd w:fill="auto" w:val="clear"/>
        </w:rPr>
        <w:t xml:space="preserve">ČUN BROJ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 {predracunBroj}/25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628"/>
        <w:gridCol w:w="2119"/>
        <w:gridCol w:w="1989"/>
        <w:gridCol w:w="1755"/>
      </w:tblGrid>
      <w:tr>
        <w:trPr>
          <w:trHeight w:val="30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Vrsta usluge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Jedinica mere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16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Koli</w:t>
            </w: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čina - offline</w:t>
            </w:r>
          </w:p>
        </w:tc>
      </w:tr>
      <w:tr>
        <w:trPr>
          <w:trHeight w:val="690" w:hRule="auto"/>
          <w:jc w:val="left"/>
        </w:trPr>
        <w:tc>
          <w:tcPr>
            <w:tcW w:w="3628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{nazivSeminara}</w:t>
            </w:r>
          </w:p>
        </w:tc>
        <w:tc>
          <w:tcPr>
            <w:tcW w:w="211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{jedinicaMere}</w:t>
            </w:r>
          </w:p>
        </w:tc>
        <w:tc>
          <w:tcPr>
            <w:tcW w:w="19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{brojUcesnikaOnline} - online</w:t>
            </w:r>
          </w:p>
        </w:tc>
        <w:tc>
          <w:tcPr>
            <w:tcW w:w="175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rFonts w:ascii="Aptos" w:hAnsi="Aptos" w:cs="Aptos" w:eastAsia="Aptos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{brojUcesnikaOffline} - offline</w:t>
            </w:r>
          </w:p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389"/>
        <w:gridCol w:w="1389"/>
        <w:gridCol w:w="1389"/>
        <w:gridCol w:w="1389"/>
        <w:gridCol w:w="1389"/>
        <w:gridCol w:w="2565"/>
      </w:tblGrid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Cena po jedinici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Popust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Poreska osnovica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Stopa PDV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PDV 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Ukupna naknada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{#hasOnline} {onlineCena} - online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{popustOnline}%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{pdvOnline}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{onlineUkupnaNaknada} {/hasOnline}</w:t>
            </w:r>
          </w:p>
        </w:tc>
      </w:tr>
      <w:tr>
        <w:trPr>
          <w:trHeight w:val="300" w:hRule="auto"/>
          <w:jc w:val="left"/>
        </w:trPr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{#hasOffline} {offlineCena} - offline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{popustOffline}%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{offlinePoreskaOsnovica}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{stopaPdv}%</w:t>
            </w:r>
          </w:p>
        </w:tc>
        <w:tc>
          <w:tcPr>
            <w:tcW w:w="1389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{pdvOffline}</w:t>
            </w:r>
          </w:p>
        </w:tc>
        <w:tc>
          <w:tcPr>
            <w:tcW w:w="25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9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u w:val="single"/>
                <w:shd w:fill="auto" w:val="clear"/>
              </w:rPr>
              <w:t xml:space="preserve">{offlineUkupnaNaknada} {/hasOffline}</w:t>
            </w:r>
          </w:p>
        </w:tc>
      </w:tr>
    </w:tbl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Ukupna naknada po svim stavkama: {ukupnaNaknada}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Ukupni PDV po svim stavkama: {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ukupanPdv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Napomena o poreskom osloba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đanju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 __/__________________________________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ab/>
      </w:r>
    </w:p>
    <w:p>
      <w:pPr>
        <w:spacing w:before="850" w:after="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Rok za uplatu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5 dana</w:t>
      </w:r>
    </w:p>
    <w:p>
      <w:pPr>
        <w:spacing w:before="0" w:after="1701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u w:val="single"/>
          <w:shd w:fill="auto" w:val="clear"/>
        </w:rPr>
        <w:t xml:space="preserve">Poziv na broj: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{predracunBroj}/25</w:t>
      </w:r>
    </w:p>
    <w:p>
      <w:pPr>
        <w:spacing w:before="0" w:after="120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0"/>
          <w:u w:val="single"/>
          <w:shd w:fill="auto" w:val="clear"/>
        </w:rPr>
        <w:t xml:space="preserve">ČUN JE URAĐEN U ELEKTRONSKOJ FORMI I VAŽI BEZ PEČATA I POTPISA.</w:t>
      </w:r>
    </w:p>
    <w:p>
      <w:pPr>
        <w:spacing w:before="1134" w:after="119" w:line="27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Mesto i datum izdavanja predra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auto" w:val="clear"/>
        </w:rPr>
        <w:t xml:space="preserve">čuna: Beograd, {datumIzdavanjaRacuna}</w:t>
      </w: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79"/>
        <w:ind w:right="0" w:left="0" w:firstLine="0"/>
        <w:jc w:val="left"/>
        <w:rPr>
          <w:rFonts w:ascii="Aptos" w:hAnsi="Aptos" w:cs="Aptos" w:eastAsia="Aptos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