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B1C2" w14:textId="0C4B6DBF" w:rsidR="004E2130" w:rsidRPr="004E2130" w:rsidRDefault="004E2130" w:rsidP="004E2130">
      <w:pPr>
        <w:pStyle w:val="NoSpacing"/>
        <w:rPr>
          <w:rFonts w:eastAsiaTheme="minorEastAsia"/>
          <w:b/>
          <w:bCs/>
          <w:lang w:val="en-US"/>
        </w:rPr>
      </w:pPr>
      <w:r w:rsidRPr="004E2130">
        <w:rPr>
          <w:rFonts w:eastAsiaTheme="minorEastAsia"/>
          <w:b/>
          <w:bCs/>
          <w:lang w:val="en-US"/>
        </w:rPr>
        <w:t>Problem:</w:t>
      </w:r>
    </w:p>
    <w:p w14:paraId="45DD45A5" w14:textId="77777777" w:rsidR="004E2130" w:rsidRDefault="004E2130" w:rsidP="004E2130">
      <w:pPr>
        <w:pStyle w:val="NoSpacing"/>
        <w:rPr>
          <w:rFonts w:eastAsiaTheme="minorEastAsia"/>
          <w:lang w:val="en-US"/>
        </w:rPr>
      </w:pPr>
    </w:p>
    <w:p w14:paraId="1EB78855" w14:textId="553EB461" w:rsidR="004E2130" w:rsidRDefault="004E2130" w:rsidP="004E2130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Buba</w:t>
      </w:r>
      <w:r w:rsidRPr="00B64754">
        <w:rPr>
          <w:rFonts w:eastAsiaTheme="minorEastAsia"/>
          <w:lang w:val="en-US"/>
        </w:rPr>
        <w:t xml:space="preserve"> Inc.</w:t>
      </w:r>
      <w:r>
        <w:rPr>
          <w:rFonts w:eastAsiaTheme="minorEastAsia"/>
          <w:lang w:val="en-US"/>
        </w:rPr>
        <w:t>, an american company,</w:t>
      </w:r>
      <w:r w:rsidRPr="00B64754">
        <w:rPr>
          <w:rFonts w:eastAsiaTheme="minorEastAsia"/>
          <w:lang w:val="en-US"/>
        </w:rPr>
        <w:t xml:space="preserve"> operates in the technology sector, which is known for its growth potential but also its volatility. </w:t>
      </w:r>
      <w:r>
        <w:rPr>
          <w:rFonts w:eastAsiaTheme="minorEastAsia"/>
          <w:lang w:val="en-US"/>
        </w:rPr>
        <w:t>Y</w:t>
      </w:r>
      <w:r w:rsidRPr="00B64754">
        <w:rPr>
          <w:rFonts w:eastAsiaTheme="minorEastAsia"/>
          <w:lang w:val="en-US"/>
        </w:rPr>
        <w:t>ou</w:t>
      </w:r>
      <w:r>
        <w:rPr>
          <w:rFonts w:eastAsiaTheme="minorEastAsia"/>
          <w:lang w:val="en-US"/>
        </w:rPr>
        <w:t xml:space="preserve"> have some money set aside and</w:t>
      </w:r>
      <w:r w:rsidRPr="00B64754">
        <w:rPr>
          <w:rFonts w:eastAsiaTheme="minorEastAsia"/>
          <w:lang w:val="en-US"/>
        </w:rPr>
        <w:t xml:space="preserve"> want to </w:t>
      </w:r>
      <w:r>
        <w:rPr>
          <w:rFonts w:eastAsiaTheme="minorEastAsia"/>
          <w:lang w:val="en-US"/>
        </w:rPr>
        <w:t xml:space="preserve">determine the expected return on investing in Buba but must also </w:t>
      </w:r>
      <w:r w:rsidRPr="00B64754">
        <w:rPr>
          <w:rFonts w:eastAsiaTheme="minorEastAsia"/>
          <w:lang w:val="en-US"/>
        </w:rPr>
        <w:t xml:space="preserve">assess the risk of investing in </w:t>
      </w:r>
      <w:r>
        <w:rPr>
          <w:rFonts w:eastAsiaTheme="minorEastAsia"/>
          <w:lang w:val="en-US"/>
        </w:rPr>
        <w:t>Buba</w:t>
      </w:r>
      <w:r w:rsidRPr="00B64754">
        <w:rPr>
          <w:rFonts w:eastAsiaTheme="minorEastAsia"/>
          <w:lang w:val="en-US"/>
        </w:rPr>
        <w:t xml:space="preserve"> Inc. compared to the overall market </w:t>
      </w:r>
      <w:r>
        <w:rPr>
          <w:rFonts w:eastAsiaTheme="minorEastAsia"/>
          <w:lang w:val="en-US"/>
        </w:rPr>
        <w:t>(</w:t>
      </w:r>
      <w:r w:rsidRPr="00B64754">
        <w:rPr>
          <w:rFonts w:eastAsiaTheme="minorEastAsia"/>
          <w:lang w:val="en-US"/>
        </w:rPr>
        <w:t xml:space="preserve">represented by the </w:t>
      </w:r>
      <w:r>
        <w:rPr>
          <w:rFonts w:eastAsiaTheme="minorEastAsia"/>
          <w:lang w:val="en-US"/>
        </w:rPr>
        <w:t>T&amp;R</w:t>
      </w:r>
      <w:r w:rsidRPr="00B64754">
        <w:rPr>
          <w:rFonts w:eastAsiaTheme="minorEastAsia"/>
          <w:lang w:val="en-US"/>
        </w:rPr>
        <w:t xml:space="preserve"> 500 index</w:t>
      </w:r>
      <w:r>
        <w:rPr>
          <w:rFonts w:eastAsiaTheme="minorEastAsia"/>
          <w:lang w:val="en-US"/>
        </w:rPr>
        <w:t>)</w:t>
      </w:r>
      <w:r w:rsidRPr="00B64754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You do your research and find that the return on the 10-year US bond is one percent and that the return of the T&amp;R index is 7%. You also colected data on the returns of investing in Buba Inc.’s and T&amp;R index over the last year and calcualted that the variance of returns for T&amp;R index is sixteen percent and that the covariance of Buba Inc.’s returns and T&amp;R index’s returns is eight percent. </w:t>
      </w:r>
      <w:r w:rsidR="00877499">
        <w:rPr>
          <w:rFonts w:eastAsiaTheme="minorEastAsia"/>
          <w:lang w:val="en-US"/>
        </w:rPr>
        <w:t>What is</w:t>
      </w:r>
      <w:r>
        <w:rPr>
          <w:rFonts w:eastAsiaTheme="minorEastAsia"/>
          <w:lang w:val="en-US"/>
        </w:rPr>
        <w:t xml:space="preserve"> the e</w:t>
      </w:r>
      <w:r w:rsidRPr="00E362CB">
        <w:rPr>
          <w:rFonts w:eastAsiaTheme="minorEastAsia"/>
          <w:lang w:val="en-US"/>
        </w:rPr>
        <w:t>xpected return</w:t>
      </w:r>
      <w:r w:rsidR="00C31A60">
        <w:rPr>
          <w:rFonts w:eastAsiaTheme="minorEastAsia"/>
          <w:lang w:val="en-US"/>
        </w:rPr>
        <w:t xml:space="preserve"> (%)</w:t>
      </w:r>
      <w:r w:rsidRPr="00E362CB">
        <w:rPr>
          <w:rFonts w:eastAsiaTheme="minorEastAsia"/>
          <w:lang w:val="en-US"/>
        </w:rPr>
        <w:t xml:space="preserve"> on </w:t>
      </w:r>
      <w:r>
        <w:rPr>
          <w:rFonts w:eastAsiaTheme="minorEastAsia"/>
          <w:lang w:val="en-US"/>
        </w:rPr>
        <w:t>investining</w:t>
      </w:r>
      <w:r w:rsidR="00DB5ED7">
        <w:rPr>
          <w:rFonts w:eastAsiaTheme="minorEastAsia"/>
          <w:lang w:val="en-US"/>
        </w:rPr>
        <w:t xml:space="preserve"> in</w:t>
      </w:r>
      <w:r>
        <w:rPr>
          <w:rFonts w:eastAsiaTheme="minorEastAsia"/>
          <w:lang w:val="en-US"/>
        </w:rPr>
        <w:t xml:space="preserve"> Buba Inc.</w:t>
      </w:r>
      <w:r w:rsidR="00AD1122">
        <w:rPr>
          <w:rFonts w:eastAsiaTheme="minorEastAsia"/>
          <w:lang w:val="en-US"/>
        </w:rPr>
        <w:t>?</w:t>
      </w:r>
    </w:p>
    <w:p w14:paraId="3EC50D84" w14:textId="77777777" w:rsidR="004E2130" w:rsidRDefault="004E2130" w:rsidP="004E2130">
      <w:pPr>
        <w:pStyle w:val="NoSpacing"/>
        <w:rPr>
          <w:rFonts w:eastAsiaTheme="minorEastAsia"/>
          <w:lang w:val="en-US"/>
        </w:rPr>
      </w:pPr>
    </w:p>
    <w:p w14:paraId="1F589398" w14:textId="7BCC23D6" w:rsidR="004E2130" w:rsidRPr="00B0674C" w:rsidRDefault="004E2130" w:rsidP="00B0674C">
      <w:pPr>
        <w:pStyle w:val="NoSpacing"/>
        <w:rPr>
          <w:rFonts w:eastAsiaTheme="minorEastAsia"/>
          <w:b/>
          <w:bCs/>
          <w:lang w:val="en-US"/>
        </w:rPr>
      </w:pPr>
      <w:r w:rsidRPr="004E2130">
        <w:rPr>
          <w:rFonts w:eastAsiaTheme="minorEastAsia"/>
          <w:b/>
          <w:bCs/>
          <w:lang w:val="en-US"/>
        </w:rPr>
        <w:t>Solution:</w:t>
      </w:r>
    </w:p>
    <w:p w14:paraId="32A1CA03" w14:textId="042CEC2C" w:rsidR="008B577B" w:rsidRPr="008B577B" w:rsidRDefault="00473883" w:rsidP="009E1631">
      <w:pPr>
        <w:jc w:val="center"/>
        <w:rPr>
          <w:lang w:val="en-US"/>
        </w:rPr>
      </w:pPr>
      <w:r>
        <w:rPr>
          <w:rFonts w:eastAsiaTheme="minorEastAsia"/>
          <w:iCs/>
          <w:lang w:val="en-US"/>
        </w:rPr>
        <w:t xml:space="preserve">CAPM (Capital Asset Pricing Model):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84C67">
        <w:rPr>
          <w:rFonts w:ascii="Arial" w:hAnsi="Arial" w:cs="Arial"/>
          <w:lang w:val="en-US"/>
        </w:rPr>
        <w:t xml:space="preserve"> </w:t>
      </w:r>
      <w:r w:rsidR="008B577B" w:rsidRPr="008B577B">
        <w:rPr>
          <w:lang w:val="en-US"/>
        </w:rPr>
        <w:t>=</w:t>
      </w:r>
      <w:r w:rsidR="00F84C6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8B577B" w:rsidRPr="008B577B">
        <w:rPr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B577B" w:rsidRPr="008B577B">
        <w:rPr>
          <w:rFonts w:ascii="Arial" w:hAnsi="Arial" w:cs="Arial"/>
          <w:lang w:val="en-US"/>
        </w:rPr>
        <w:t>​</w:t>
      </w:r>
      <w:r w:rsidR="008B577B" w:rsidRPr="008B577B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8B577B" w:rsidRPr="008B577B">
        <w:rPr>
          <w:rFonts w:ascii="Arial" w:hAnsi="Arial" w:cs="Arial"/>
          <w:lang w:val="en-US"/>
        </w:rPr>
        <w:t>​</w:t>
      </w:r>
      <w:r w:rsidR="008B577B" w:rsidRPr="008B577B">
        <w:rPr>
          <w:lang w:val="en-US"/>
        </w:rPr>
        <w:t>−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8B577B" w:rsidRPr="008B577B">
        <w:rPr>
          <w:lang w:val="en-US"/>
        </w:rPr>
        <w:t>)</w:t>
      </w:r>
    </w:p>
    <w:p w14:paraId="6A964B90" w14:textId="70027175" w:rsidR="00BE500A" w:rsidRPr="003F5A33" w:rsidRDefault="00365844" w:rsidP="00BE50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Covariance of Asset Returns and Market Returns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Variance of Market Returns</m:t>
              </m:r>
            </m:den>
          </m:f>
        </m:oMath>
      </m:oMathPara>
    </w:p>
    <w:p w14:paraId="42EB97CD" w14:textId="77777777" w:rsidR="00BE500A" w:rsidRDefault="00BE500A" w:rsidP="006807A0">
      <w:pPr>
        <w:pStyle w:val="NoSpacing"/>
        <w:rPr>
          <w:lang w:val="en-US"/>
        </w:rPr>
      </w:pPr>
    </w:p>
    <w:p w14:paraId="03CF97C8" w14:textId="0CFC378B" w:rsidR="008B577B" w:rsidRPr="008B577B" w:rsidRDefault="008B577B" w:rsidP="006807A0">
      <w:pPr>
        <w:pStyle w:val="NoSpacing"/>
        <w:rPr>
          <w:lang w:val="en-US"/>
        </w:rPr>
      </w:pPr>
      <w:r w:rsidRPr="008B577B">
        <w:rPr>
          <w:lang w:val="en-US"/>
        </w:rPr>
        <w:t>Where:</w:t>
      </w:r>
    </w:p>
    <w:p w14:paraId="4DFE7A18" w14:textId="1363CE96" w:rsidR="008B577B" w:rsidRPr="008B577B" w:rsidRDefault="00365844" w:rsidP="006807A0">
      <w:pPr>
        <w:pStyle w:val="NoSpacing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B577B" w:rsidRPr="008B577B">
        <w:rPr>
          <w:rFonts w:ascii="Arial" w:hAnsi="Arial" w:cs="Arial"/>
          <w:lang w:val="en-US"/>
        </w:rPr>
        <w:t>​</w:t>
      </w:r>
      <w:r w:rsidR="008B577B" w:rsidRPr="008B577B">
        <w:rPr>
          <w:lang w:val="en-US"/>
        </w:rPr>
        <w:t xml:space="preserve"> = Expected return on the investment</w:t>
      </w:r>
      <w:r w:rsidR="00A25B8C">
        <w:rPr>
          <w:lang w:val="en-US"/>
        </w:rPr>
        <w:t xml:space="preserve"> i</w:t>
      </w:r>
    </w:p>
    <w:p w14:paraId="369ECB87" w14:textId="26C810A0" w:rsidR="008B577B" w:rsidRPr="008B577B" w:rsidRDefault="00365844" w:rsidP="006807A0">
      <w:pPr>
        <w:pStyle w:val="NoSpacing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8B577B" w:rsidRPr="008B577B">
        <w:rPr>
          <w:rFonts w:ascii="Arial" w:hAnsi="Arial" w:cs="Arial"/>
          <w:lang w:val="en-US"/>
        </w:rPr>
        <w:t>​</w:t>
      </w:r>
      <w:r w:rsidR="008B577B" w:rsidRPr="008B577B">
        <w:rPr>
          <w:lang w:val="en-US"/>
        </w:rPr>
        <w:t xml:space="preserve"> = Risk-free rate of return (typically the return on government bonds)</w:t>
      </w:r>
    </w:p>
    <w:p w14:paraId="04F2C799" w14:textId="2CA379F4" w:rsidR="008B577B" w:rsidRPr="008B577B" w:rsidRDefault="00365844" w:rsidP="006807A0">
      <w:pPr>
        <w:pStyle w:val="NoSpacing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B577B" w:rsidRPr="008B577B">
        <w:rPr>
          <w:rFonts w:ascii="Arial" w:hAnsi="Arial" w:cs="Arial"/>
          <w:lang w:val="en-US"/>
        </w:rPr>
        <w:t>​</w:t>
      </w:r>
      <w:r w:rsidR="008B577B" w:rsidRPr="008B577B">
        <w:rPr>
          <w:lang w:val="en-US"/>
        </w:rPr>
        <w:t xml:space="preserve"> = Beta of the investment (measure of its volatility relative to the overall market)</w:t>
      </w:r>
    </w:p>
    <w:p w14:paraId="70DFEBFB" w14:textId="4E700243" w:rsidR="008B577B" w:rsidRPr="008B577B" w:rsidRDefault="00365844" w:rsidP="006807A0">
      <w:pPr>
        <w:pStyle w:val="NoSpacing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8B577B" w:rsidRPr="008B577B">
        <w:rPr>
          <w:rFonts w:ascii="Arial" w:hAnsi="Arial" w:cs="Arial"/>
          <w:lang w:val="en-US"/>
        </w:rPr>
        <w:t>​</w:t>
      </w:r>
      <w:r w:rsidR="008B577B" w:rsidRPr="008B577B">
        <w:rPr>
          <w:lang w:val="en-US"/>
        </w:rPr>
        <w:t xml:space="preserve"> = Expected return of the market (usually represented by a broad market index such as S&amp;P 500)</w:t>
      </w:r>
    </w:p>
    <w:p w14:paraId="24A432B4" w14:textId="77777777" w:rsidR="00AF1EC5" w:rsidRDefault="00AF1EC5" w:rsidP="00A12C96"/>
    <w:p w14:paraId="535C773A" w14:textId="2849F7CA" w:rsidR="00355BC3" w:rsidRPr="00194189" w:rsidRDefault="00030B10" w:rsidP="00194189">
      <w:pPr>
        <w:pStyle w:val="NoSpacing"/>
      </w:pPr>
      <w:r>
        <w:t>From the problem’s description we get that:</w:t>
      </w:r>
    </w:p>
    <w:p w14:paraId="283AA78E" w14:textId="61A08762" w:rsidR="00355BC3" w:rsidRPr="00194189" w:rsidRDefault="00365844" w:rsidP="00194189">
      <w:pPr>
        <w:pStyle w:val="NoSpacing"/>
        <w:numPr>
          <w:ilvl w:val="0"/>
          <w:numId w:val="6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355BC3" w:rsidRPr="00A12C96">
        <w:rPr>
          <w:rFonts w:ascii="Arial" w:hAnsi="Arial" w:cs="Arial"/>
          <w:lang w:val="en-US"/>
        </w:rPr>
        <w:t>​</w:t>
      </w:r>
      <w:r w:rsidR="00355BC3" w:rsidRPr="00A12C96">
        <w:rPr>
          <w:lang w:val="en-US"/>
        </w:rPr>
        <w:t xml:space="preserve"> = 1</w:t>
      </w:r>
      <w:r w:rsidR="00BA601B" w:rsidRPr="00A12C96">
        <w:rPr>
          <w:lang w:val="en-US"/>
        </w:rPr>
        <w:t>%</w:t>
      </w:r>
    </w:p>
    <w:p w14:paraId="0344F549" w14:textId="7BEFB95C" w:rsidR="003F5A33" w:rsidRPr="00A12C96" w:rsidRDefault="00365844" w:rsidP="006807A0">
      <w:pPr>
        <w:pStyle w:val="NoSpacing"/>
        <w:numPr>
          <w:ilvl w:val="0"/>
          <w:numId w:val="6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355BC3" w:rsidRPr="00A12C96">
        <w:rPr>
          <w:rFonts w:ascii="Arial" w:hAnsi="Arial" w:cs="Arial"/>
          <w:lang w:val="en-US"/>
        </w:rPr>
        <w:t>​</w:t>
      </w:r>
      <w:r w:rsidR="00355BC3" w:rsidRPr="00A12C96">
        <w:rPr>
          <w:lang w:val="en-US"/>
        </w:rPr>
        <w:t xml:space="preserve"> = </w:t>
      </w:r>
      <w:r w:rsidR="00BA601B" w:rsidRPr="00A12C96">
        <w:rPr>
          <w:lang w:val="en-US"/>
        </w:rPr>
        <w:t>7%</w:t>
      </w:r>
    </w:p>
    <w:p w14:paraId="32AB4E6E" w14:textId="5E56B487" w:rsidR="004848BF" w:rsidRPr="00A12C96" w:rsidRDefault="004848BF" w:rsidP="006807A0">
      <w:pPr>
        <w:pStyle w:val="NoSpacing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  <w:lang w:val="en-US"/>
          </w:rPr>
          <m:t>Covariance of Asset Returns and Market Returns=8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%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616B2B28" w14:textId="617E7933" w:rsidR="00865401" w:rsidRPr="005D0301" w:rsidRDefault="009A03C0" w:rsidP="006807A0">
      <w:pPr>
        <w:pStyle w:val="NoSpacing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  <w:lang w:val="en-US"/>
          </w:rPr>
          <m:t>Variance of Market Returns=16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%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7E21F662" w14:textId="27C03A32" w:rsidR="003F44E2" w:rsidRDefault="003F44E2" w:rsidP="005D0301">
      <w:pPr>
        <w:pStyle w:val="NoSpacing"/>
        <w:rPr>
          <w:rFonts w:eastAsiaTheme="minorEastAsia"/>
          <w:lang w:val="en-US"/>
        </w:rPr>
      </w:pPr>
    </w:p>
    <w:p w14:paraId="24D9F432" w14:textId="1FCF6659" w:rsidR="003F44E2" w:rsidRPr="003F5A33" w:rsidRDefault="00365844" w:rsidP="003F44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%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%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34987C09" w14:textId="77777777" w:rsidR="005D0301" w:rsidRDefault="005D0301" w:rsidP="005D0301">
      <w:pPr>
        <w:pStyle w:val="NoSpacing"/>
        <w:rPr>
          <w:rFonts w:eastAsiaTheme="minorEastAsia"/>
          <w:lang w:val="en-US"/>
        </w:rPr>
      </w:pPr>
    </w:p>
    <w:p w14:paraId="4169E70D" w14:textId="27B60F20" w:rsidR="005D0301" w:rsidRDefault="002747CB" w:rsidP="00365844">
      <w:pPr>
        <w:jc w:val="center"/>
        <w:rPr>
          <w:lang w:val="en-US"/>
        </w:rPr>
      </w:pPr>
      <w:r>
        <w:rPr>
          <w:rFonts w:eastAsiaTheme="minorEastAsia"/>
          <w:iCs/>
          <w:lang w:val="en-US"/>
        </w:rPr>
        <w:t xml:space="preserve">CAPM (Capital Asset Pricing Model):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Arial" w:hAnsi="Arial" w:cs="Arial"/>
          <w:lang w:val="en-US"/>
        </w:rPr>
        <w:t xml:space="preserve"> </w:t>
      </w:r>
      <w:r w:rsidRPr="008B577B">
        <w:rPr>
          <w:lang w:val="en-US"/>
        </w:rPr>
        <w:t>=</w:t>
      </w:r>
      <w:r>
        <w:rPr>
          <w:lang w:val="en-US"/>
        </w:rPr>
        <w:t xml:space="preserve"> 1%</w:t>
      </w:r>
      <w:r w:rsidRPr="008B577B">
        <w:rPr>
          <w:lang w:val="en-US"/>
        </w:rPr>
        <w:t>+</w:t>
      </w:r>
      <w:r>
        <w:rPr>
          <w:lang w:val="en-US"/>
        </w:rPr>
        <w:t>0.5</w:t>
      </w:r>
      <w:r w:rsidRPr="008B577B">
        <w:rPr>
          <w:rFonts w:ascii="Arial" w:hAnsi="Arial" w:cs="Arial"/>
          <w:lang w:val="en-US"/>
        </w:rPr>
        <w:t>​</w:t>
      </w:r>
      <w:r w:rsidRPr="008B577B">
        <w:rPr>
          <w:lang w:val="en-US"/>
        </w:rPr>
        <w:t>(</w:t>
      </w:r>
      <w:r>
        <w:rPr>
          <w:lang w:val="en-US"/>
        </w:rPr>
        <w:t>7%</w:t>
      </w:r>
      <w:r w:rsidRPr="008B577B">
        <w:rPr>
          <w:rFonts w:ascii="Arial" w:hAnsi="Arial" w:cs="Arial"/>
          <w:lang w:val="en-US"/>
        </w:rPr>
        <w:t>​</w:t>
      </w:r>
      <w:r w:rsidRPr="008B577B">
        <w:rPr>
          <w:lang w:val="en-US"/>
        </w:rPr>
        <w:t>−</w:t>
      </w:r>
      <w:r>
        <w:rPr>
          <w:lang w:val="en-US"/>
        </w:rPr>
        <w:t>1%</w:t>
      </w:r>
      <w:r w:rsidRPr="008B577B">
        <w:rPr>
          <w:lang w:val="en-US"/>
        </w:rPr>
        <w:t>)</w:t>
      </w:r>
      <w:r w:rsidR="00392425">
        <w:rPr>
          <w:lang w:val="en-US"/>
        </w:rPr>
        <w:t xml:space="preserve"> = </w:t>
      </w:r>
      <w:r w:rsidR="00392425" w:rsidRPr="00365844">
        <w:rPr>
          <w:b/>
          <w:bCs/>
          <w:lang w:val="en-US"/>
        </w:rPr>
        <w:t>4</w:t>
      </w:r>
      <w:r w:rsidR="00392425">
        <w:rPr>
          <w:lang w:val="en-US"/>
        </w:rPr>
        <w:t>%</w:t>
      </w:r>
    </w:p>
    <w:p w14:paraId="36141674" w14:textId="1BE20973" w:rsidR="00365844" w:rsidRPr="00365844" w:rsidRDefault="00365844" w:rsidP="00365844">
      <w:pPr>
        <w:jc w:val="center"/>
        <w:rPr>
          <w:b/>
          <w:bCs/>
          <w:lang w:val="en-US"/>
        </w:rPr>
      </w:pPr>
      <w:r w:rsidRPr="00365844">
        <w:rPr>
          <w:b/>
          <w:bCs/>
          <w:lang w:val="en-US"/>
        </w:rPr>
        <w:t>Answer: 4</w:t>
      </w:r>
    </w:p>
    <w:sectPr w:rsidR="00365844" w:rsidRPr="0036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06C"/>
    <w:multiLevelType w:val="multilevel"/>
    <w:tmpl w:val="065C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1473D7"/>
    <w:multiLevelType w:val="hybridMultilevel"/>
    <w:tmpl w:val="AFD0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738C8"/>
    <w:multiLevelType w:val="hybridMultilevel"/>
    <w:tmpl w:val="15D2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D741A"/>
    <w:multiLevelType w:val="hybridMultilevel"/>
    <w:tmpl w:val="AF66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62FAA"/>
    <w:multiLevelType w:val="hybridMultilevel"/>
    <w:tmpl w:val="7EAA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B1280"/>
    <w:multiLevelType w:val="hybridMultilevel"/>
    <w:tmpl w:val="ED8C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97562">
    <w:abstractNumId w:val="0"/>
  </w:num>
  <w:num w:numId="2" w16cid:durableId="1554346837">
    <w:abstractNumId w:val="2"/>
  </w:num>
  <w:num w:numId="3" w16cid:durableId="1455827509">
    <w:abstractNumId w:val="3"/>
  </w:num>
  <w:num w:numId="4" w16cid:durableId="1158033694">
    <w:abstractNumId w:val="4"/>
  </w:num>
  <w:num w:numId="5" w16cid:durableId="1172182730">
    <w:abstractNumId w:val="5"/>
  </w:num>
  <w:num w:numId="6" w16cid:durableId="145741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11"/>
    <w:rsid w:val="00030B10"/>
    <w:rsid w:val="000A26A9"/>
    <w:rsid w:val="000E0FCC"/>
    <w:rsid w:val="001550E7"/>
    <w:rsid w:val="00194189"/>
    <w:rsid w:val="00230155"/>
    <w:rsid w:val="002747CB"/>
    <w:rsid w:val="0028408A"/>
    <w:rsid w:val="00285C0C"/>
    <w:rsid w:val="002B5364"/>
    <w:rsid w:val="002C4411"/>
    <w:rsid w:val="002D2F48"/>
    <w:rsid w:val="00355BC3"/>
    <w:rsid w:val="00365844"/>
    <w:rsid w:val="00392425"/>
    <w:rsid w:val="003F44E2"/>
    <w:rsid w:val="003F5A33"/>
    <w:rsid w:val="0041576F"/>
    <w:rsid w:val="004363A9"/>
    <w:rsid w:val="00473883"/>
    <w:rsid w:val="004848BF"/>
    <w:rsid w:val="00491D08"/>
    <w:rsid w:val="004E2130"/>
    <w:rsid w:val="00547019"/>
    <w:rsid w:val="0059788F"/>
    <w:rsid w:val="005D0301"/>
    <w:rsid w:val="005E2169"/>
    <w:rsid w:val="006347E5"/>
    <w:rsid w:val="00636B43"/>
    <w:rsid w:val="006807A0"/>
    <w:rsid w:val="006E1E16"/>
    <w:rsid w:val="006E7C52"/>
    <w:rsid w:val="006F7EEB"/>
    <w:rsid w:val="007D4A12"/>
    <w:rsid w:val="00813401"/>
    <w:rsid w:val="00860926"/>
    <w:rsid w:val="00865401"/>
    <w:rsid w:val="00877499"/>
    <w:rsid w:val="008B577B"/>
    <w:rsid w:val="008E57B8"/>
    <w:rsid w:val="00906CDF"/>
    <w:rsid w:val="009203FD"/>
    <w:rsid w:val="009A03C0"/>
    <w:rsid w:val="009E1631"/>
    <w:rsid w:val="009F7116"/>
    <w:rsid w:val="00A0621A"/>
    <w:rsid w:val="00A128CD"/>
    <w:rsid w:val="00A12C96"/>
    <w:rsid w:val="00A25B8C"/>
    <w:rsid w:val="00A72EA4"/>
    <w:rsid w:val="00AC15A0"/>
    <w:rsid w:val="00AD1122"/>
    <w:rsid w:val="00AF1EC5"/>
    <w:rsid w:val="00B0674C"/>
    <w:rsid w:val="00B14CE4"/>
    <w:rsid w:val="00B64754"/>
    <w:rsid w:val="00BA601B"/>
    <w:rsid w:val="00BE500A"/>
    <w:rsid w:val="00C31A60"/>
    <w:rsid w:val="00C41CCF"/>
    <w:rsid w:val="00C50E96"/>
    <w:rsid w:val="00C646BF"/>
    <w:rsid w:val="00C7497D"/>
    <w:rsid w:val="00CD4760"/>
    <w:rsid w:val="00D333BB"/>
    <w:rsid w:val="00D91646"/>
    <w:rsid w:val="00DB3134"/>
    <w:rsid w:val="00DB5ED7"/>
    <w:rsid w:val="00E12C88"/>
    <w:rsid w:val="00E362CB"/>
    <w:rsid w:val="00EB76D7"/>
    <w:rsid w:val="00F344A6"/>
    <w:rsid w:val="00F66060"/>
    <w:rsid w:val="00F8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AF4F"/>
  <w15:chartTrackingRefBased/>
  <w15:docId w15:val="{76B9BAA6-0820-4338-A222-8B194D69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4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4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41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4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411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411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411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41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41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41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41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C4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41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41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C4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41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C4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4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4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411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C4411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50E7"/>
    <w:rPr>
      <w:color w:val="666666"/>
    </w:rPr>
  </w:style>
  <w:style w:type="paragraph" w:styleId="NoSpacing">
    <w:name w:val="No Spacing"/>
    <w:uiPriority w:val="1"/>
    <w:qFormat/>
    <w:rsid w:val="006807A0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75</cp:revision>
  <dcterms:created xsi:type="dcterms:W3CDTF">2024-04-05T23:43:00Z</dcterms:created>
  <dcterms:modified xsi:type="dcterms:W3CDTF">2024-04-08T00:41:00Z</dcterms:modified>
</cp:coreProperties>
</file>