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B174" w14:textId="77777777" w:rsidR="005A21EF" w:rsidRDefault="005A21EF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B64AC">
        <w:rPr>
          <w:rFonts w:ascii="Times New Roman" w:eastAsia="Times New Roman" w:hAnsi="Times New Roman" w:cs="Times New Roman"/>
          <w:sz w:val="24"/>
          <w:szCs w:val="24"/>
          <w:lang w:val="en-US"/>
        </w:rPr>
        <w:t>Sulfur content and density are the key factors that differentiate types of crude oil.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Then you have location.</w:t>
      </w:r>
    </w:p>
    <w:p w14:paraId="7903A8AC" w14:textId="77777777" w:rsidR="005A21EF" w:rsidRDefault="005A21EF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demand dynamic for crude oil is interesting because there aren’t many uses for </w:t>
      </w:r>
      <w:r w:rsidRPr="00F34D55">
        <w:rPr>
          <w:rFonts w:ascii="Times New Roman" w:eastAsia="Times New Roman" w:hAnsi="Times New Roman" w:cs="Times New Roman"/>
          <w:sz w:val="24"/>
          <w:szCs w:val="24"/>
          <w:lang w:val="en-US"/>
        </w:rPr>
        <w:t>crude oil in its unrefined form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34D55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34D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demand for the byproducts translates into demand for crude oil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6AC04E" w14:textId="77D85A04" w:rsidR="005A21EF" w:rsidRDefault="005A21EF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main buyers of crude oil are refineries.</w:t>
      </w:r>
      <w:r w:rsidR="00D01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</w:t>
      </w:r>
      <w:r w:rsidR="00DD3013">
        <w:rPr>
          <w:rFonts w:ascii="Times New Roman" w:eastAsia="Times New Roman" w:hAnsi="Times New Roman" w:cs="Times New Roman"/>
          <w:sz w:val="24"/>
          <w:szCs w:val="24"/>
          <w:lang w:val="en-US"/>
        </w:rPr>
        <w:t>, by default, the number of refineries</w:t>
      </w:r>
      <w:r w:rsidR="00D0157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operation affects total demand.</w:t>
      </w:r>
    </w:p>
    <w:p w14:paraId="6AA664A7" w14:textId="0C70399B" w:rsidR="00734680" w:rsidRDefault="00734680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734680">
        <w:rPr>
          <w:rFonts w:ascii="Times New Roman" w:eastAsia="Times New Roman" w:hAnsi="Times New Roman" w:cs="Times New Roman"/>
          <w:sz w:val="24"/>
          <w:szCs w:val="24"/>
          <w:lang w:val="en-US"/>
        </w:rPr>
        <w:t>here were 825 operational crude oil refineries worldwide as of 2023, and this number was expected to grow by around 23 refineries by the end of 202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</w:p>
    <w:p w14:paraId="35A3D247" w14:textId="1846DFAB" w:rsidR="00DD3013" w:rsidRDefault="00DD3013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 a new </w:t>
      </w:r>
      <w:r w:rsidR="009F4042">
        <w:rPr>
          <w:rFonts w:ascii="Times New Roman" w:eastAsia="Times New Roman" w:hAnsi="Times New Roman" w:cs="Times New Roman"/>
          <w:sz w:val="24"/>
          <w:szCs w:val="24"/>
          <w:lang w:val="en-US"/>
        </w:rPr>
        <w:t>refinery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</w:t>
      </w:r>
      <w:r w:rsidRPr="00DD3013">
        <w:rPr>
          <w:rFonts w:ascii="Times New Roman" w:eastAsia="Times New Roman" w:hAnsi="Times New Roman" w:cs="Times New Roman"/>
          <w:sz w:val="24"/>
          <w:szCs w:val="24"/>
          <w:lang w:val="en-US"/>
        </w:rPr>
        <w:t>Dangote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Nigeria (with capacity = </w:t>
      </w:r>
      <w:r w:rsidRPr="00DD3013">
        <w:rPr>
          <w:rFonts w:ascii="Times New Roman" w:eastAsia="Times New Roman" w:hAnsi="Times New Roman" w:cs="Times New Roman"/>
          <w:sz w:val="24"/>
          <w:szCs w:val="24"/>
          <w:lang w:val="en-US"/>
        </w:rPr>
        <w:t>650,000 barrels per day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7924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biggest in Africa.</w:t>
      </w:r>
    </w:p>
    <w:p w14:paraId="7C6E63E2" w14:textId="2408AB0E" w:rsidR="002E6BC9" w:rsidRDefault="002E6BC9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34C501" w14:textId="77777777" w:rsidR="00DD3013" w:rsidRDefault="00DD3013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FC16A3" w14:textId="77777777" w:rsidR="00DD3013" w:rsidRDefault="00DD3013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1FF8D7" w14:textId="77777777" w:rsidR="00DD3013" w:rsidRDefault="00DD3013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5017AB" w14:textId="77777777" w:rsidR="00DD3013" w:rsidRDefault="00DD3013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E7B413" w14:textId="77777777" w:rsidR="00DD3013" w:rsidRDefault="00DD3013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8C92E3" w14:textId="1C3B9188" w:rsidR="005A21EF" w:rsidRPr="006D2465" w:rsidRDefault="005A21EF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things that affect the refineries demand for crude oil are: transportation levels, economic activity (industrial sector mainly, manufacturing), storage capacity levels.</w:t>
      </w:r>
    </w:p>
    <w:p w14:paraId="0E98E529" w14:textId="7C3B2F25" w:rsidR="005A21EF" w:rsidRPr="00E11C44" w:rsidRDefault="005A21EF" w:rsidP="005A2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1C4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Air Travel</w:t>
      </w:r>
      <w:r w:rsidRPr="00E11C4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A9C0840" w14:textId="77777777" w:rsidR="005A21EF" w:rsidRPr="00E11C44" w:rsidRDefault="005A21EF" w:rsidP="005A2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1C4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2023</w:t>
      </w:r>
      <w:r w:rsidRPr="00E11C44">
        <w:rPr>
          <w:rFonts w:ascii="Times New Roman" w:eastAsia="Times New Roman" w:hAnsi="Times New Roman" w:cs="Times New Roman"/>
          <w:sz w:val="24"/>
          <w:szCs w:val="24"/>
          <w:lang w:val="en-US"/>
        </w:rPr>
        <w:t>: Recovery was progressing with international traveler numbers improving throughout the year. By the end of 2023, passenger numbers were projected to reach about 94% of pre-pandemic levels.</w:t>
      </w:r>
    </w:p>
    <w:p w14:paraId="6EF5351F" w14:textId="77777777" w:rsidR="005A21EF" w:rsidRPr="00E11C44" w:rsidRDefault="005A21EF" w:rsidP="005A2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11C4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2024</w:t>
      </w:r>
      <w:r w:rsidRPr="00E11C44">
        <w:rPr>
          <w:rFonts w:ascii="Times New Roman" w:eastAsia="Times New Roman" w:hAnsi="Times New Roman" w:cs="Times New Roman"/>
          <w:sz w:val="24"/>
          <w:szCs w:val="24"/>
          <w:lang w:val="en-US"/>
        </w:rPr>
        <w:t>: Expected to fully recover and exceed pre-pandemic levels, reaching 103% of 2019 levels by the end of the year​ (</w:t>
      </w:r>
      <w:hyperlink r:id="rId5" w:tgtFrame="_blank" w:history="1">
        <w:r w:rsidRPr="00E11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International Air Transport Association</w:t>
        </w:r>
      </w:hyperlink>
      <w:r w:rsidRPr="00E11C44">
        <w:rPr>
          <w:rFonts w:ascii="Times New Roman" w:eastAsia="Times New Roman" w:hAnsi="Times New Roman" w:cs="Times New Roman"/>
          <w:sz w:val="24"/>
          <w:szCs w:val="24"/>
          <w:lang w:val="en-US"/>
        </w:rPr>
        <w:t>)​.</w:t>
      </w:r>
    </w:p>
    <w:p w14:paraId="4B150FB4" w14:textId="77777777" w:rsidR="000C233D" w:rsidRPr="000C233D" w:rsidRDefault="000C233D" w:rsidP="000C2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23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Public and Ground Transport</w:t>
      </w:r>
      <w:r w:rsidRPr="000C233D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2085A9D" w14:textId="77777777" w:rsidR="000C233D" w:rsidRPr="000C233D" w:rsidRDefault="000C233D" w:rsidP="000C2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23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2023</w:t>
      </w:r>
      <w:r w:rsidRPr="000C233D">
        <w:rPr>
          <w:rFonts w:ascii="Times New Roman" w:eastAsia="Times New Roman" w:hAnsi="Times New Roman" w:cs="Times New Roman"/>
          <w:sz w:val="24"/>
          <w:szCs w:val="24"/>
          <w:lang w:val="en-US"/>
        </w:rPr>
        <w:t>: Public transport systems were still recovering, with ridership generally increasing but remaining below pre-pandemic levels in many areas. Rail and bus services in Europe showed gradual improvement​ (</w:t>
      </w:r>
      <w:hyperlink r:id="rId6" w:tgtFrame="_blank" w:history="1">
        <w:r w:rsidRPr="000C2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ING</w:t>
        </w:r>
      </w:hyperlink>
      <w:r w:rsidRPr="000C233D">
        <w:rPr>
          <w:rFonts w:ascii="Times New Roman" w:eastAsia="Times New Roman" w:hAnsi="Times New Roman" w:cs="Times New Roman"/>
          <w:sz w:val="24"/>
          <w:szCs w:val="24"/>
          <w:lang w:val="en-US"/>
        </w:rPr>
        <w:t>)​.</w:t>
      </w:r>
    </w:p>
    <w:p w14:paraId="1588F3EF" w14:textId="77777777" w:rsidR="000C233D" w:rsidRPr="000C233D" w:rsidRDefault="000C233D" w:rsidP="000C23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C23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2024</w:t>
      </w:r>
      <w:r w:rsidRPr="000C233D">
        <w:rPr>
          <w:rFonts w:ascii="Times New Roman" w:eastAsia="Times New Roman" w:hAnsi="Times New Roman" w:cs="Times New Roman"/>
          <w:sz w:val="24"/>
          <w:szCs w:val="24"/>
          <w:lang w:val="en-US"/>
        </w:rPr>
        <w:t>: Continues to experience recovery, although full return to pre-pandemic levels is slow, particularly in regions where remote work remains prevalent​ (</w:t>
      </w:r>
      <w:hyperlink r:id="rId7" w:tgtFrame="_blank" w:history="1">
        <w:r w:rsidRPr="000C23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ING</w:t>
        </w:r>
      </w:hyperlink>
      <w:r w:rsidRPr="000C233D">
        <w:rPr>
          <w:rFonts w:ascii="Times New Roman" w:eastAsia="Times New Roman" w:hAnsi="Times New Roman" w:cs="Times New Roman"/>
          <w:sz w:val="24"/>
          <w:szCs w:val="24"/>
          <w:lang w:val="en-US"/>
        </w:rPr>
        <w:t>)​.</w:t>
      </w:r>
    </w:p>
    <w:p w14:paraId="4271B3B6" w14:textId="77777777" w:rsidR="00FF48BB" w:rsidRDefault="00FF48BB" w:rsidP="00FF48BB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Logistics and Shipping</w:t>
      </w:r>
      <w:r>
        <w:t>:</w:t>
      </w:r>
    </w:p>
    <w:p w14:paraId="1F08205D" w14:textId="77777777" w:rsidR="00FF48BB" w:rsidRDefault="00FF48BB" w:rsidP="00FF48B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2023</w:t>
      </w:r>
      <w:r>
        <w:t>: The logistics sector faced challenges with balancing supply and demand, ongoing excess capacity, and adapting to new trade regulations and geopolitical tensions</w:t>
      </w:r>
      <w:r>
        <w:rPr>
          <w:rFonts w:ascii="Arial" w:hAnsi="Arial" w:cs="Arial"/>
        </w:rPr>
        <w:t>​</w:t>
      </w:r>
      <w:r>
        <w:rPr>
          <w:rStyle w:val="text-token-text-secondary"/>
        </w:rPr>
        <w:t xml:space="preserve"> (</w:t>
      </w:r>
      <w:hyperlink r:id="rId8" w:tgtFrame="_blank" w:history="1">
        <w:r>
          <w:rPr>
            <w:rStyle w:val="Hyperlink"/>
          </w:rPr>
          <w:t>Supply Chain Brain</w:t>
        </w:r>
      </w:hyperlink>
      <w:r>
        <w:rPr>
          <w:rStyle w:val="text-token-text-secondary"/>
        </w:rPr>
        <w:t>)</w:t>
      </w:r>
      <w:r>
        <w:rPr>
          <w:rFonts w:ascii="Arial" w:hAnsi="Arial" w:cs="Arial"/>
        </w:rPr>
        <w:t>​​</w:t>
      </w:r>
      <w:r>
        <w:rPr>
          <w:rStyle w:val="text-token-text-secondary"/>
        </w:rPr>
        <w:t xml:space="preserve"> (</w:t>
      </w:r>
      <w:hyperlink r:id="rId9" w:tgtFrame="_blank" w:history="1">
        <w:r>
          <w:rPr>
            <w:rStyle w:val="Hyperlink"/>
          </w:rPr>
          <w:t>ING</w:t>
        </w:r>
      </w:hyperlink>
      <w:r>
        <w:rPr>
          <w:rStyle w:val="text-token-text-secondary"/>
        </w:rPr>
        <w:t>)</w:t>
      </w:r>
      <w:r>
        <w:rPr>
          <w:rFonts w:ascii="Arial" w:hAnsi="Arial" w:cs="Arial"/>
        </w:rPr>
        <w:t>​</w:t>
      </w:r>
      <w:r>
        <w:t>.</w:t>
      </w:r>
    </w:p>
    <w:p w14:paraId="15CE620F" w14:textId="77777777" w:rsidR="00FF48BB" w:rsidRDefault="00FF48BB" w:rsidP="00FF48B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2024</w:t>
      </w:r>
      <w:r>
        <w:t>: Growth may slow as the global economic slowdown impacts goods transportation, with continued adjustments in shipping and logistics practices</w:t>
      </w:r>
      <w:r>
        <w:rPr>
          <w:rFonts w:ascii="Arial" w:hAnsi="Arial" w:cs="Arial"/>
        </w:rPr>
        <w:t>​</w:t>
      </w:r>
      <w:r>
        <w:rPr>
          <w:rStyle w:val="text-token-text-secondary"/>
        </w:rPr>
        <w:t xml:space="preserve"> (</w:t>
      </w:r>
      <w:hyperlink r:id="rId10" w:tgtFrame="_blank" w:history="1">
        <w:r>
          <w:rPr>
            <w:rStyle w:val="Hyperlink"/>
          </w:rPr>
          <w:t>ING</w:t>
        </w:r>
      </w:hyperlink>
      <w:r>
        <w:rPr>
          <w:rStyle w:val="text-token-text-secondary"/>
        </w:rPr>
        <w:t>)</w:t>
      </w:r>
      <w:r>
        <w:rPr>
          <w:rFonts w:ascii="Arial" w:hAnsi="Arial" w:cs="Arial"/>
        </w:rPr>
        <w:t>​</w:t>
      </w:r>
      <w:r>
        <w:t>.</w:t>
      </w:r>
    </w:p>
    <w:p w14:paraId="2D77BD93" w14:textId="2EB6E6D2" w:rsidR="00C50E96" w:rsidRDefault="00FF48BB" w:rsidP="00B35B6C">
      <w:pPr>
        <w:pStyle w:val="NormalWeb"/>
      </w:pPr>
      <w:r>
        <w:rPr>
          <w:rStyle w:val="Strong"/>
          <w:rFonts w:eastAsiaTheme="majorEastAsia"/>
        </w:rPr>
        <w:t>Global Economic Activity</w:t>
      </w:r>
      <w:r w:rsidR="00B35B6C">
        <w:t xml:space="preserve"> (non-OECD):</w:t>
      </w:r>
    </w:p>
    <w:p w14:paraId="2B80571A" w14:textId="1120C759" w:rsidR="00B35B6C" w:rsidRDefault="00B35B6C" w:rsidP="00B35B6C">
      <w:pPr>
        <w:pStyle w:val="NormalWeb"/>
      </w:pPr>
      <w:r>
        <w:t>China</w:t>
      </w:r>
      <w:r w:rsidR="00DD3013">
        <w:t xml:space="preserve">: </w:t>
      </w:r>
      <w:r w:rsidR="00DD3013" w:rsidRPr="00DD3013">
        <w:t>The slowdown</w:t>
      </w:r>
      <w:r w:rsidR="00083551">
        <w:t xml:space="preserve"> (5.2% in 2023 to 4.1% in 2024 anticipated)</w:t>
      </w:r>
      <w:r w:rsidR="00DD3013" w:rsidRPr="00DD3013">
        <w:t xml:space="preserve"> is due to several structural challenges, including the ongoing property market downturn, persistent consumer confidence issues, and weaker global demand.</w:t>
      </w:r>
    </w:p>
    <w:p w14:paraId="2DFF780E" w14:textId="7FF70B1E" w:rsidR="00B35B6C" w:rsidRDefault="00B35B6C" w:rsidP="00B35B6C">
      <w:pPr>
        <w:pStyle w:val="NormalWeb"/>
      </w:pPr>
      <w:r>
        <w:t>India</w:t>
      </w:r>
      <w:r w:rsidR="00C17E24">
        <w:t>: (6.4% 2023 to 6.7% 2024 anticipated)</w:t>
      </w:r>
    </w:p>
    <w:p w14:paraId="6B0EAED9" w14:textId="39ACEA20" w:rsidR="00B35B6C" w:rsidRDefault="00B35B6C" w:rsidP="00B35B6C">
      <w:pPr>
        <w:pStyle w:val="NormalWeb"/>
      </w:pPr>
      <w:r>
        <w:t>Brazil</w:t>
      </w:r>
      <w:r w:rsidR="00C17E24">
        <w:t>: (3% 2023 to 1.8% 2024 anticipated)</w:t>
      </w:r>
    </w:p>
    <w:p w14:paraId="157A4917" w14:textId="084B5601" w:rsidR="00B35B6C" w:rsidRDefault="00B35B6C" w:rsidP="00B35B6C">
      <w:pPr>
        <w:pStyle w:val="NormalWeb"/>
      </w:pPr>
      <w:r>
        <w:t>Russia</w:t>
      </w:r>
      <w:r w:rsidR="00C17E24">
        <w:t>: (3% 2023 to 2.9% 2024 anticipated)</w:t>
      </w:r>
    </w:p>
    <w:sectPr w:rsidR="00B3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E35DB"/>
    <w:multiLevelType w:val="multilevel"/>
    <w:tmpl w:val="9590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07E84"/>
    <w:multiLevelType w:val="multilevel"/>
    <w:tmpl w:val="DAFE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F6975"/>
    <w:multiLevelType w:val="multilevel"/>
    <w:tmpl w:val="E47E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8302D"/>
    <w:multiLevelType w:val="multilevel"/>
    <w:tmpl w:val="BC96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302507">
    <w:abstractNumId w:val="1"/>
  </w:num>
  <w:num w:numId="2" w16cid:durableId="366027415">
    <w:abstractNumId w:val="2"/>
  </w:num>
  <w:num w:numId="3" w16cid:durableId="184680564">
    <w:abstractNumId w:val="0"/>
  </w:num>
  <w:num w:numId="4" w16cid:durableId="414782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15"/>
    <w:rsid w:val="00083551"/>
    <w:rsid w:val="000C233D"/>
    <w:rsid w:val="002E6BC9"/>
    <w:rsid w:val="005A21EF"/>
    <w:rsid w:val="006D2465"/>
    <w:rsid w:val="00734680"/>
    <w:rsid w:val="00792461"/>
    <w:rsid w:val="00853DD0"/>
    <w:rsid w:val="00965200"/>
    <w:rsid w:val="009F4042"/>
    <w:rsid w:val="00A0621A"/>
    <w:rsid w:val="00A260E3"/>
    <w:rsid w:val="00AF3F15"/>
    <w:rsid w:val="00B35B6C"/>
    <w:rsid w:val="00C17E24"/>
    <w:rsid w:val="00C50E96"/>
    <w:rsid w:val="00D0157A"/>
    <w:rsid w:val="00DD3013"/>
    <w:rsid w:val="00FF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CD210"/>
  <w15:chartTrackingRefBased/>
  <w15:docId w15:val="{8403036C-790C-479F-8767-CBAB019F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1E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F1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1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F15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F1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F15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15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15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1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1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1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1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F3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F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F1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F3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F1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F3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F1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F1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F15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F3F15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C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C233D"/>
    <w:rPr>
      <w:b/>
      <w:bCs/>
    </w:rPr>
  </w:style>
  <w:style w:type="character" w:customStyle="1" w:styleId="text-token-text-secondary">
    <w:name w:val="text-token-text-secondary"/>
    <w:basedOn w:val="DefaultParagraphFont"/>
    <w:rsid w:val="000C233D"/>
  </w:style>
  <w:style w:type="character" w:styleId="Hyperlink">
    <w:name w:val="Hyperlink"/>
    <w:basedOn w:val="DefaultParagraphFont"/>
    <w:uiPriority w:val="99"/>
    <w:semiHidden/>
    <w:unhideWhenUsed/>
    <w:rsid w:val="000C23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6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plychainbrain.com/articles/38908-a-global-logistics-outlook-for-20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g.com/Newsroom/News/Global-transport-and-logistics-outlook-normalisation-in-a-different-world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g.com/Newsroom/News/Global-transport-and-logistics-outlook-normalisation-in-a-different-world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ata.org/en/pressroom/2022-releases/2022-03-01-01" TargetMode="External"/><Relationship Id="rId10" Type="http://schemas.openxmlformats.org/officeDocument/2006/relationships/hyperlink" Target="https://www.ing.com/Newsroom/News/Global-transport-and-logistics-outlook-normalisation-in-a-different-world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g.com/Newsroom/News/Global-transport-and-logistics-outlook-normalisation-in-a-different-worl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353</Words>
  <Characters>2792</Characters>
  <Application>Microsoft Office Word</Application>
  <DocSecurity>0</DocSecurity>
  <Lines>60</Lines>
  <Paragraphs>31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17</cp:revision>
  <dcterms:created xsi:type="dcterms:W3CDTF">2024-06-25T13:59:00Z</dcterms:created>
  <dcterms:modified xsi:type="dcterms:W3CDTF">2024-06-25T14:36:00Z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60292c13dcb27b6a1cbf4ce2786d03cf788c9b9ecfb7405e25ac4e1a3d25890d</vt:lpwstr>
  </property>
</Properties>
</file>