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hip replacement model: a user guide</w:t>
      </w:r>
    </w:p>
    <w:p>
      <w:pPr>
        <w:pStyle w:val="Author"/>
      </w:pPr>
      <w:r>
        <w:t xml:space="preserve">Qian Xin and Howard Thom</w:t>
      </w:r>
    </w:p>
    <w:p>
      <w:pPr>
        <w:pStyle w:val="Date"/>
      </w:pPr>
      <w:r>
        <w:t xml:space="preserve">2026-10-28</w:t>
      </w:r>
    </w:p>
    <w:bookmarkStart w:id="20" w:name="what-the-model-is"/>
    <w:p>
      <w:pPr>
        <w:pStyle w:val="Heading2"/>
      </w:pPr>
      <w:r>
        <w:t xml:space="preserve">What the model is</w:t>
      </w:r>
    </w:p>
    <w:p>
      <w:pPr>
        <w:pStyle w:val="FirstParagraph"/>
      </w:pPr>
      <w:r>
        <w:t xml:space="preserve">This package contains a cohort Markov model of total hip replacement, a</w:t>
      </w:r>
      <w:r>
        <w:t xml:space="preserve"> </w:t>
      </w:r>
      <w:r>
        <w:t xml:space="preserve">simplified version of the model published by Fawsitt et al. (2019) that</w:t>
      </w:r>
      <w:r>
        <w:t xml:space="preserve"> </w:t>
      </w:r>
      <w:r>
        <w:t xml:space="preserve">compared prosthetic implant combinations using data from the UK National</w:t>
      </w:r>
      <w:r>
        <w:t xml:space="preserve"> </w:t>
      </w:r>
      <w:r>
        <w:t xml:space="preserve">Joint Registry (NJR) and the Swedish Hip Arthroplasty Register (SHAR).</w:t>
      </w:r>
      <w:r>
        <w:t xml:space="preserve"> </w:t>
      </w:r>
      <w:r>
        <w:t xml:space="preserve">It is used as the worked example in the tutorial on modularisation,</w:t>
      </w:r>
      <w:r>
        <w:t xml:space="preserve"> </w:t>
      </w:r>
      <w:r>
        <w:t xml:space="preserve">optimisation, documentation and testing of health economic models in R,</w:t>
      </w:r>
      <w:r>
        <w:t xml:space="preserve"> </w:t>
      </w:r>
      <w:r>
        <w:t xml:space="preserve">and this guide walks through running it from end to end.</w:t>
      </w:r>
    </w:p>
    <w:p>
      <w:pPr>
        <w:pStyle w:val="BodyText"/>
      </w:pPr>
      <w:r>
        <w:t xml:space="preserve">The model compares four implant combinations for men aged 65 to 74</w:t>
      </w:r>
      <w:r>
        <w:t xml:space="preserve"> </w:t>
      </w:r>
      <w:r>
        <w:t xml:space="preserve">having a first total hip replacement: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911"/>
        <w:gridCol w:w="1281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Implant</w:t>
            </w:r>
          </w:p>
        </w:tc>
        <w:tc>
          <w:tcPr/>
          <w:p>
            <w:pPr>
              <w:pStyle w:val="Compact"/>
            </w:pPr>
            <w:r>
              <w:t xml:space="preserve">Bearing surface</w:t>
            </w:r>
          </w:p>
        </w:tc>
        <w:tc>
          <w:tcPr/>
          <w:p>
            <w:pPr>
              <w:pStyle w:val="Compact"/>
            </w:pPr>
            <w:r>
              <w:t xml:space="preserve">Head size</w:t>
            </w:r>
          </w:p>
        </w:tc>
        <w:tc>
          <w:tcPr/>
          <w:p>
            <w:pPr>
              <w:pStyle w:val="Compact"/>
            </w:pPr>
            <w:r>
              <w:t xml:space="preserve">Fixation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Cemented</w:t>
            </w:r>
          </w:p>
        </w:tc>
        <w:tc>
          <w:tcPr/>
          <w:p>
            <w:pPr>
              <w:pStyle w:val="Compact"/>
            </w:pPr>
            <w:r>
              <w:t xml:space="preserve">Metal-on-polyethylene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Cemented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Uncemented</w:t>
            </w:r>
          </w:p>
        </w:tc>
        <w:tc>
          <w:tcPr/>
          <w:p>
            <w:pPr>
              <w:pStyle w:val="Compact"/>
            </w:pPr>
            <w:r>
              <w:t xml:space="preserve">Ceramic-on-polyethylene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Uncemented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Ceramic-on-polyethylene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hybrid</w:t>
            </w:r>
          </w:p>
        </w:tc>
        <w:tc>
          <w:tcPr/>
          <w:p>
            <w:pPr>
              <w:pStyle w:val="Compact"/>
            </w:pPr>
            <w:r>
              <w:t xml:space="preserve">Ceramic-on-polyethylene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Reverse hybrid</w:t>
            </w:r>
          </w:p>
        </w:tc>
      </w:tr>
    </w:tbl>
    <w:p>
      <w:pPr>
        <w:pStyle w:val="BodyText"/>
      </w:pPr>
      <w:r>
        <w:t xml:space="preserve">Patients enter the model at age 65 in the post-THR state and are</w:t>
      </w:r>
      <w:r>
        <w:t xml:space="preserve"> </w:t>
      </w:r>
      <w:r>
        <w:t xml:space="preserve">followed for 30 one-year cycles. Each year they may stay where they are,</w:t>
      </w:r>
      <w:r>
        <w:t xml:space="preserve"> </w:t>
      </w:r>
      <w:r>
        <w:t xml:space="preserve">have a revision operation, or die.</w:t>
      </w:r>
    </w:p>
    <w:bookmarkEnd w:id="20"/>
    <w:bookmarkStart w:id="24" w:name="health-states"/>
    <w:p>
      <w:pPr>
        <w:pStyle w:val="Heading2"/>
      </w:pPr>
      <w:r>
        <w:t xml:space="preserve">Health states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odel structure. Patients may need a first and then a second revision; the post-2nd-revision state also carries the cost of any further revisions. Death is possible from every living state." title="" id="22" name="Picture"/>
            <a:graphic>
              <a:graphicData uri="http://schemas.openxmlformats.org/drawingml/2006/picture">
                <pic:pic>
                  <pic:nvPicPr>
                    <pic:cNvPr descr="hips_model_files/figure-docx/model-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structure. Patients may need a first and then a second revision; the post-2nd-revision state also carries the cost of any further revisions. Death is possible from every living state.</w:t>
      </w:r>
    </w:p>
    <w:p>
      <w:pPr>
        <w:pStyle w:val="BodyText"/>
      </w:pPr>
      <w:r>
        <w:t xml:space="preserve">The four states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THR</w:t>
      </w:r>
      <w:r>
        <w:t xml:space="preserve">: living with the primary implant. Each year there is a</w:t>
      </w:r>
      <w:r>
        <w:t xml:space="preserve"> </w:t>
      </w:r>
      <w:r>
        <w:t xml:space="preserve">small, implant-specific probability of a first revision.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1st revision</w:t>
      </w:r>
      <w:r>
        <w:t xml:space="preserve">: living with the implant from the first</w:t>
      </w:r>
      <w:r>
        <w:t xml:space="preserve"> </w:t>
      </w:r>
      <w:r>
        <w:t xml:space="preserve">revision. The probability of a second revision is the same for all</w:t>
      </w:r>
      <w:r>
        <w:t xml:space="preserve"> </w:t>
      </w:r>
      <w:r>
        <w:t xml:space="preserve">implants.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 2nd revision</w:t>
      </w:r>
      <w:r>
        <w:t xml:space="preserve">: living after two or more revisions. Patients</w:t>
      </w:r>
      <w:r>
        <w:t xml:space="preserve"> </w:t>
      </w:r>
      <w:r>
        <w:t xml:space="preserve">stay in this state, but each year they face a probability of a</w:t>
      </w:r>
      <w:r>
        <w:t xml:space="preserve"> </w:t>
      </w:r>
      <w:r>
        <w:t xml:space="preserve">further revision that is charged as a cost without a change of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</w:t>
      </w:r>
      <w:r>
        <w:t xml:space="preserve">: the absorbing state, reached from any living state with</w:t>
      </w:r>
      <w:r>
        <w:t xml:space="preserve"> </w:t>
      </w:r>
      <w:r>
        <w:t xml:space="preserve">the age-specific probability from the UK life table.</w:t>
      </w:r>
    </w:p>
    <w:bookmarkEnd w:id="24"/>
    <w:bookmarkStart w:id="25" w:name="setting-up"/>
    <w:p>
      <w:pPr>
        <w:pStyle w:val="Heading2"/>
      </w:pPr>
      <w:r>
        <w:t xml:space="preserve">Setting up</w:t>
      </w:r>
    </w:p>
    <w:p>
      <w:pPr>
        <w:pStyle w:val="FirstParagraph"/>
      </w:pPr>
      <w:r>
        <w:t xml:space="preserve">The model functions are loaded with</w:t>
      </w:r>
      <w:r>
        <w:t xml:space="preserve"> </w:t>
      </w:r>
      <w:r>
        <w:rPr>
          <w:rStyle w:val="VerbatimChar"/>
        </w:rPr>
        <w:t xml:space="preserve">devtools::load_all()</w:t>
      </w:r>
      <w:r>
        <w:t xml:space="preserve">, which makes</w:t>
      </w:r>
      <w:r>
        <w:t xml:space="preserve"> </w:t>
      </w:r>
      <w:r>
        <w:t xml:space="preserve">every function in the</w:t>
      </w:r>
      <w:r>
        <w:t xml:space="preserve"> </w:t>
      </w:r>
      <w:r>
        <w:rPr>
          <w:rStyle w:val="VerbatimChar"/>
        </w:rPr>
        <w:t xml:space="preserve">R/</w:t>
      </w:r>
      <w:r>
        <w:t xml:space="preserve"> </w:t>
      </w:r>
      <w:r>
        <w:t xml:space="preserve">folder available without installing the</w:t>
      </w:r>
      <w:r>
        <w:t xml:space="preserve"> </w:t>
      </w:r>
      <w:r>
        <w:t xml:space="preserve">package. In this repository the functions that take a</w:t>
      </w:r>
      <w:r>
        <w:t xml:space="preserve"> </w:t>
      </w:r>
      <w:r>
        <w:rPr>
          <w:rStyle w:val="VerbatimChar"/>
        </w:rPr>
        <w:t xml:space="preserve">model_settings</w:t>
      </w:r>
      <w:r>
        <w:t xml:space="preserve"> </w:t>
      </w:r>
      <w:r>
        <w:t xml:space="preserve">list are in</w:t>
      </w:r>
      <w:r>
        <w:t xml:space="preserve"> </w:t>
      </w:r>
      <w:r>
        <w:rPr>
          <w:rStyle w:val="VerbatimChar"/>
        </w:rPr>
        <w:t xml:space="preserve">paper/R/</w:t>
      </w:r>
      <w:r>
        <w:t xml:space="preserve">, alongside the original package functions, so</w:t>
      </w:r>
      <w:r>
        <w:t xml:space="preserve"> </w:t>
      </w:r>
      <w:r>
        <w:t xml:space="preserve">they are sourced from there.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(function_file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"paper/R"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.R$"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(function_file)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structural settings of the model are collected in a single list that</w:t>
      </w:r>
      <w:r>
        <w:t xml:space="preserve"> </w:t>
      </w:r>
      <w:r>
        <w:t xml:space="preserve">is passed to every function. Changing the number of samples, the time</w:t>
      </w:r>
      <w:r>
        <w:t xml:space="preserve"> </w:t>
      </w:r>
      <w:r>
        <w:t xml:space="preserve">horizon or the discount rate means changing it here and nowhere else.</w:t>
      </w:r>
    </w:p>
    <w:p>
      <w:pPr>
        <w:pStyle w:val="SourceCode"/>
      </w:pPr>
      <w:r>
        <w:rPr>
          <w:rStyle w:val="NormalTok"/>
        </w:rPr>
        <w:t xml:space="preserve">model_settings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n_cycles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30 one-year cycles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cycle_length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years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initial_age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cohort starts at age 65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discount_rate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0.035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3.5% per year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state_names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"post_thr"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"post_1st_rev"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"post_2nd_rev"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implant_names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"cemented"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"uncemented"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"reverse_hybrid"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data_directory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data may be stored separately if sensitive</w:t>
      </w:r>
      <w:r>
        <w:br/>
      </w:r>
      <w:r>
        <w:rPr>
          <w:rStyle w:val="NormalTok"/>
        </w:rPr>
        <w:t xml:space="preserve">)</w:t>
      </w:r>
    </w:p>
    <w:bookmarkEnd w:id="25"/>
    <w:bookmarkStart w:id="26" w:name="input-data"/>
    <w:p>
      <w:pPr>
        <w:pStyle w:val="Heading2"/>
      </w:pPr>
      <w:r>
        <w:t xml:space="preserve">Input data</w:t>
      </w:r>
    </w:p>
    <w:p>
      <w:pPr>
        <w:pStyle w:val="FirstParagraph"/>
      </w:pPr>
      <w:r>
        <w:t xml:space="preserve">All inputs are held in one workbook,</w:t>
      </w:r>
      <w:r>
        <w:t xml:space="preserve"> </w:t>
      </w:r>
      <w:r>
        <w:rPr>
          <w:rStyle w:val="VerbatimChar"/>
        </w:rPr>
        <w:t xml:space="preserve">data/hips_input_data.xlsx</w:t>
      </w:r>
      <w:r>
        <w:t xml:space="preserve">, with a</w:t>
      </w:r>
      <w:r>
        <w:t xml:space="preserve"> </w:t>
      </w:r>
      <w:r>
        <w:t xml:space="preserve">sheet for each type of parameter. Keeping them there, rather than in the</w:t>
      </w:r>
      <w:r>
        <w:t xml:space="preserve"> </w:t>
      </w:r>
      <w:r>
        <w:t xml:space="preserve">code, means a reviewer can check every number without running anything,</w:t>
      </w:r>
      <w:r>
        <w:t xml:space="preserve"> </w:t>
      </w:r>
      <w:r>
        <w:t xml:space="preserve">and the file can be stored separately if the data are sensitive. The</w:t>
      </w:r>
      <w:r>
        <w:t xml:space="preserve"> </w:t>
      </w:r>
      <w:r>
        <w:t xml:space="preserve">sheets are:</w:t>
      </w:r>
    </w:p>
    <w:p>
      <w:pPr>
        <w:pStyle w:val="SourceCode"/>
      </w:pPr>
      <w:r>
        <w:rPr>
          <w:rStyle w:val="NormalTok"/>
        </w:rPr>
        <w:t xml:space="preserve">input_file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data_directory, </w:t>
      </w:r>
      <w:r>
        <w:rPr>
          <w:rStyle w:val="StringTok"/>
        </w:rPr>
        <w:t xml:space="preserve">"hips_input_data.xlsx"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excel_sheets</w:t>
      </w:r>
      <w:r>
        <w:rPr>
          <w:rStyle w:val="NormalTok"/>
        </w:rPr>
        <w:t xml:space="preserve">(input_file)</w:t>
      </w:r>
      <w:r>
        <w:br/>
      </w:r>
      <w:r>
        <w:rPr>
          <w:rStyle w:val="CommentTok"/>
        </w:rPr>
        <w:t xml:space="preserve">#&gt; [1] "log_rates_1st_revision" "other_log_rates"        "costs"                  "state_utilities"       </w:t>
      </w:r>
      <w:r>
        <w:br/>
      </w:r>
      <w:r>
        <w:rPr>
          <w:rStyle w:val="CommentTok"/>
        </w:rPr>
        <w:t xml:space="preserve">#&gt; [5] "uk_lifetables"</w:t>
      </w:r>
    </w:p>
    <w:p>
      <w:pPr>
        <w:pStyle w:val="FirstParagraph"/>
      </w:pPr>
      <w:r>
        <w:t xml:space="preserve">First revision rates are the only inputs that differ between implants.</w:t>
      </w:r>
      <w:r>
        <w:t xml:space="preserve"> </w:t>
      </w:r>
      <w:r>
        <w:t xml:space="preserve">They are stored as log rates with a standard error, and sampled on the</w:t>
      </w:r>
      <w:r>
        <w:t xml:space="preserve"> </w:t>
      </w:r>
      <w:r>
        <w:t xml:space="preserve">log scale: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(input_file,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"log_rates_1st_revision"</w:t>
      </w:r>
      <w:r>
        <w:rPr>
          <w:rStyle w:val="NormalTok"/>
        </w:rPr>
        <w:t xml:space="preserve">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rates of first revision by implant (NJR/SHAR)"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Log rates of first revision by implant (NJR/SHAR)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g rates of first revision by implant (NJR/SHAR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reverse_hybrid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</w:tr>
    </w:tbl>
    <w:p>
      <w:pPr>
        <w:pStyle w:val="BodyText"/>
      </w:pPr>
      <w:r>
        <w:t xml:space="preserve">Second and higher revision rates are shared across implants, costs are</w:t>
      </w:r>
      <w:r>
        <w:t xml:space="preserve"> </w:t>
      </w:r>
      <w:r>
        <w:t xml:space="preserve">fixed, and state utilities are sampled from normal distributions: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(input_file,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"other_log_rates"</w:t>
      </w:r>
      <w:r>
        <w:rPr>
          <w:rStyle w:val="NormalTok"/>
        </w:rPr>
        <w:t xml:space="preserve">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rates of second and higher revision"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Log rates of second and higher revision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g rates of second and higher revis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log_hazard_2nd_revision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log_hazard_2nd_revision_se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log_hazard_higher_revision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log_hazard_higher_revision_se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(input_file,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"costs"</w:t>
      </w:r>
      <w:r>
        <w:rPr>
          <w:rStyle w:val="NormalTok"/>
        </w:rPr>
        <w:t xml:space="preserve">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"Costs (GBP, 2015-16 prices)"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Costs (GBP, 2015-16 prices)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sts (GBP, 2015-16 price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cost_uncemented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cost_reverse_hybrid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cost_revision_with_implant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8595.83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cost_revision_other_resource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cost_revision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9004.95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(input_file,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"state_utilities"</w:t>
      </w:r>
      <w:r>
        <w:rPr>
          <w:rStyle w:val="NormalTok"/>
        </w:rPr>
        <w:t xml:space="preserve">)[,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state utilities (UK PROMs)"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Health state utilities (UK PROMs)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alth state utilities (UK PROM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post_thr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post_1st_rev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post_2nd_rev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Mortality is taken from the</w:t>
      </w:r>
      <w:r>
        <w:t xml:space="preserve"> </w:t>
      </w:r>
      <w:r>
        <w:rPr>
          <w:rStyle w:val="VerbatimChar"/>
        </w:rPr>
        <w:t xml:space="preserve">uk_lifetables</w:t>
      </w:r>
      <w:r>
        <w:t xml:space="preserve"> </w:t>
      </w:r>
      <w:r>
        <w:t xml:space="preserve">sheet, which the transition</w:t>
      </w:r>
      <w:r>
        <w:t xml:space="preserve"> </w:t>
      </w:r>
      <w:r>
        <w:t xml:space="preserve">matrix function reads itself because it is fixed and does not need to be</w:t>
      </w:r>
      <w:r>
        <w:t xml:space="preserve"> </w:t>
      </w:r>
      <w:r>
        <w:t xml:space="preserve">sampled.</w:t>
      </w:r>
    </w:p>
    <w:bookmarkEnd w:id="26"/>
    <w:bookmarkStart w:id="27" w:name="running-the-model"/>
    <w:p>
      <w:pPr>
        <w:pStyle w:val="Heading2"/>
      </w:pPr>
      <w:r>
        <w:t xml:space="preserve">Running the model</w:t>
      </w:r>
    </w:p>
    <w:p>
      <w:pPr>
        <w:pStyle w:val="FirstParagraph"/>
      </w:pPr>
      <w:r>
        <w:t xml:space="preserve">The analysis is five function calls, each returning one object that the</w:t>
      </w:r>
      <w:r>
        <w:t xml:space="preserve"> </w:t>
      </w:r>
      <w:r>
        <w:t xml:space="preserve">next one needs. Setting the seed first makes the probabilistic samples</w:t>
      </w:r>
      <w:r>
        <w:t xml:space="preserve"> </w:t>
      </w:r>
      <w:r>
        <w:t xml:space="preserve">reproducible.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input_parameters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generate_input_parameters</w:t>
      </w:r>
      <w:r>
        <w:rPr>
          <w:rStyle w:val="NormalTok"/>
        </w:rPr>
        <w:t xml:space="preserve">(model_settings)</w:t>
      </w:r>
      <w:r>
        <w:br/>
      </w:r>
      <w:r>
        <w:rPr>
          <w:rStyle w:val="NormalTok"/>
        </w:rPr>
        <w:t xml:space="preserve">transition_matrices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generate_transition_matrices</w:t>
      </w:r>
      <w:r>
        <w:rPr>
          <w:rStyle w:val="NormalTok"/>
        </w:rPr>
        <w:t xml:space="preserve">(input_parameters, model_settings)</w:t>
      </w:r>
      <w:r>
        <w:br/>
      </w:r>
      <w:r>
        <w:rPr>
          <w:rStyle w:val="NormalTok"/>
        </w:rPr>
        <w:t xml:space="preserve">state_costs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generate_state_costs</w:t>
      </w:r>
      <w:r>
        <w:rPr>
          <w:rStyle w:val="NormalTok"/>
        </w:rPr>
        <w:t xml:space="preserve">(input_parameters, model_settings)</w:t>
      </w:r>
      <w:r>
        <w:br/>
      </w:r>
      <w:r>
        <w:rPr>
          <w:rStyle w:val="NormalTok"/>
        </w:rPr>
        <w:t xml:space="preserve">state_qalys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generate_state_qalys</w:t>
      </w:r>
      <w:r>
        <w:rPr>
          <w:rStyle w:val="NormalTok"/>
        </w:rPr>
        <w:t xml:space="preserve">(input_parameters, model_settings)</w:t>
      </w:r>
      <w:r>
        <w:br/>
      </w:r>
      <w:r>
        <w:br/>
      </w:r>
      <w:r>
        <w:rPr>
          <w:rStyle w:val="NormalTok"/>
        </w:rPr>
        <w:t xml:space="preserve">model_output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generate_net_benefit</w:t>
      </w:r>
      <w:r>
        <w:rPr>
          <w:rStyle w:val="NormalTok"/>
        </w:rPr>
        <w:t xml:space="preserve">(transition_matrices, state_costs,</w:t>
      </w:r>
      <w:r>
        <w:br/>
      </w:r>
      <w:r>
        <w:rPr>
          <w:rStyle w:val="NormalTok"/>
        </w:rPr>
        <w:t xml:space="preserve">                                     state_qalys, input_parameters,</w:t>
      </w:r>
      <w:r>
        <w:br/>
      </w:r>
      <w:r>
        <w:rPr>
          <w:rStyle w:val="NormalTok"/>
        </w:rPr>
        <w:t xml:space="preserve">                                     model_settings,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input_parameters</w:t>
      </w:r>
      <w:r>
        <w:t xml:space="preserve"> </w:t>
      </w:r>
      <w:r>
        <w:t xml:space="preserve">has one row per probabilistic sample and one column</w:t>
      </w:r>
      <w:r>
        <w:t xml:space="preserve"> </w:t>
      </w:r>
      <w:r>
        <w:t xml:space="preserve">per parameter: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(input_parameters)</w:t>
      </w:r>
      <w:r>
        <w:br/>
      </w:r>
      <w:r>
        <w:rPr>
          <w:rStyle w:val="CommentTok"/>
        </w:rPr>
        <w:t xml:space="preserve">#&gt; [1] 1000   15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(input_parameters[,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log_rate_1st_revision_cemented log_rate_1st_revision_uncemented log_rate_1st_revision_hybrid</w:t>
      </w:r>
      <w:r>
        <w:br/>
      </w:r>
      <w:r>
        <w:rPr>
          <w:rStyle w:val="CommentTok"/>
        </w:rPr>
        <w:t xml:space="preserve">#&gt; 1                      -5.339127                        -5.786244                    -5.582067</w:t>
      </w:r>
      <w:r>
        <w:br/>
      </w:r>
      <w:r>
        <w:rPr>
          <w:rStyle w:val="CommentTok"/>
        </w:rPr>
        <w:t xml:space="preserve">#&gt; 2                      -5.373530                        -5.811800                    -5.550911</w:t>
      </w:r>
      <w:r>
        <w:br/>
      </w:r>
      <w:r>
        <w:rPr>
          <w:rStyle w:val="CommentTok"/>
        </w:rPr>
        <w:t xml:space="preserve">#&gt; 3                      -5.375977                        -5.778090                    -5.563690</w:t>
      </w:r>
      <w:r>
        <w:br/>
      </w:r>
      <w:r>
        <w:rPr>
          <w:rStyle w:val="CommentTok"/>
        </w:rPr>
        <w:t xml:space="preserve">#&gt;   log_rate_1st_revision_reverse_hybrid log_rate_2nd_revision log_rate_higher_revision</w:t>
      </w:r>
      <w:r>
        <w:br/>
      </w:r>
      <w:r>
        <w:rPr>
          <w:rStyle w:val="CommentTok"/>
        </w:rPr>
        <w:t xml:space="preserve">#&gt; 1                            -5.506783             -3.114148                -2.868140</w:t>
      </w:r>
      <w:r>
        <w:br/>
      </w:r>
      <w:r>
        <w:rPr>
          <w:rStyle w:val="CommentTok"/>
        </w:rPr>
        <w:t xml:space="preserve">#&gt; 2                            -5.529211             -3.191420                -2.937931</w:t>
      </w:r>
      <w:r>
        <w:br/>
      </w:r>
      <w:r>
        <w:rPr>
          <w:rStyle w:val="CommentTok"/>
        </w:rPr>
        <w:t xml:space="preserve">#&gt; 3                            -5.524179             -3.111630                -2.844167</w:t>
      </w:r>
    </w:p>
    <w:p>
      <w:pPr>
        <w:pStyle w:val="FirstParagraph"/>
      </w:pPr>
      <w:r>
        <w:rPr>
          <w:rStyle w:val="VerbatimChar"/>
        </w:rPr>
        <w:t xml:space="preserve">model_output</w:t>
      </w:r>
      <w:r>
        <w:t xml:space="preserve"> </w:t>
      </w:r>
      <w:r>
        <w:t xml:space="preserve">is a list of four matrices, each with one row per implant</w:t>
      </w:r>
      <w:r>
        <w:t xml:space="preserve"> </w:t>
      </w:r>
      <w:r>
        <w:t xml:space="preserve">and one column per sample:</w:t>
      </w:r>
      <w:r>
        <w:t xml:space="preserve"> </w:t>
      </w:r>
      <w:r>
        <w:rPr>
          <w:rStyle w:val="VerbatimChar"/>
        </w:rPr>
        <w:t xml:space="preserve">total_costs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total_qalys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net_benefit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incremental_net_benefit</w:t>
      </w:r>
      <w:r>
        <w:t xml:space="preserve"> </w:t>
      </w:r>
      <w:r>
        <w:t xml:space="preserve">(relative to the first implant, cemented).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(model_output, </w:t>
      </w:r>
      <w:r>
        <w:rPr>
          <w:rStyle w:val="AttributeTok"/>
        </w:rPr>
        <w:t xml:space="preserve">max.level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List of 4</w:t>
      </w:r>
      <w:r>
        <w:br/>
      </w:r>
      <w:r>
        <w:rPr>
          <w:rStyle w:val="CommentTok"/>
        </w:rPr>
        <w:t xml:space="preserve">#&gt;  $ total_costs            : num [1:4, 1:1000] 1563 2910 2236 2133 1520 ...</w:t>
      </w:r>
      <w:r>
        <w:br/>
      </w:r>
      <w:r>
        <w:rPr>
          <w:rStyle w:val="CommentTok"/>
        </w:rPr>
        <w:t xml:space="preserve">#&gt;   ..- attr(*, "dimnames")=List of 2</w:t>
      </w:r>
      <w:r>
        <w:br/>
      </w:r>
      <w:r>
        <w:rPr>
          <w:rStyle w:val="CommentTok"/>
        </w:rPr>
        <w:t xml:space="preserve">#&gt;  $ total_qalys            : num [1:4, 1:1000] 10.2 10.3 10.3 10.3 10.4 ...</w:t>
      </w:r>
      <w:r>
        <w:br/>
      </w:r>
      <w:r>
        <w:rPr>
          <w:rStyle w:val="CommentTok"/>
        </w:rPr>
        <w:t xml:space="preserve">#&gt;   ..- attr(*, "dimnames")=List of 2</w:t>
      </w:r>
      <w:r>
        <w:br/>
      </w:r>
      <w:r>
        <w:rPr>
          <w:rStyle w:val="CommentTok"/>
        </w:rPr>
        <w:t xml:space="preserve">#&gt;  $ net_benefit            : num [1:4, 1:1000] 203170 202587 202952 202925 205847 ...</w:t>
      </w:r>
      <w:r>
        <w:br/>
      </w:r>
      <w:r>
        <w:rPr>
          <w:rStyle w:val="CommentTok"/>
        </w:rPr>
        <w:t xml:space="preserve">#&gt;   ..- attr(*, "dimnames")=List of 2</w:t>
      </w:r>
      <w:r>
        <w:br/>
      </w:r>
      <w:r>
        <w:rPr>
          <w:rStyle w:val="CommentTok"/>
        </w:rPr>
        <w:t xml:space="preserve">#&gt;  $ incremental_net_benefit: num [1:4, 1:1000] 0 -583 -218 -245 0 ...</w:t>
      </w:r>
      <w:r>
        <w:br/>
      </w:r>
      <w:r>
        <w:rPr>
          <w:rStyle w:val="CommentTok"/>
        </w:rPr>
        <w:t xml:space="preserve">#&gt;   ..- attr(*, "dimnames")=List of 2</w:t>
      </w:r>
    </w:p>
    <w:bookmarkEnd w:id="27"/>
    <w:bookmarkStart w:id="34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Discounted lifetime costs and QALYs per patient, averaged over the</w:t>
      </w:r>
      <w:r>
        <w:t xml:space="preserve"> </w:t>
      </w:r>
      <w:r>
        <w:t xml:space="preserve">probabilistic samples:</w:t>
      </w:r>
    </w:p>
    <w:p>
      <w:pPr>
        <w:pStyle w:val="SourceCode"/>
      </w:pP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Implant =</w:t>
      </w:r>
      <w:r>
        <w:rPr>
          <w:rStyle w:val="NormalTok"/>
        </w:rPr>
        <w:t xml:space="preserve"> 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implant_names,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cost (GBP)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QALYs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total_qalys),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Net benefit (GBP)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net_benefit),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Incremental net benefit vs cemented (GBP)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results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Net benefit (GBP)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results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Net benefit (GBP)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discounted costs, QALYs and net benefit at GBP 20,000 per QALY"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Mean discounted costs, QALYs and net benefit at GBP 20,000 per QALY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ean discounted costs, QALYs and net benefit at GBP 20,000 per QALY"/>
      </w:tblPr>
      <w:tblGrid>
        <w:gridCol w:w="1164"/>
        <w:gridCol w:w="1242"/>
        <w:gridCol w:w="854"/>
        <w:gridCol w:w="1397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cost (GBP)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QALYs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benefit (GBP)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Incremental net benefit vs cemented (GBP)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reverse_hybrid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-285</w:t>
            </w:r>
          </w:p>
        </w:tc>
      </w:tr>
    </w:tbl>
    <w:p>
      <w:pPr>
        <w:pStyle w:val="BodyText"/>
      </w:pPr>
      <w:r>
        <w:t xml:space="preserve">The cost-effectiveness plane shows each sample’s incremental cost and</w:t>
      </w:r>
      <w:r>
        <w:t xml:space="preserve"> </w:t>
      </w:r>
      <w:r>
        <w:t xml:space="preserve">QALYs for the three alternatives relative to the cemented implant:</w:t>
      </w:r>
    </w:p>
    <w:p>
      <w:pPr>
        <w:pStyle w:val="SourceCode"/>
      </w:pPr>
      <w:r>
        <w:rPr>
          <w:rStyle w:val="NormalTok"/>
        </w:rPr>
        <w:t xml:space="preserve">inc_costs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inc_qalys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total_qalys,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total_qalys[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colours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"#D55E00"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"#0072B2"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"#009E73"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(inc_qalys),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(inc_costs),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 QALYs vs cemented"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 cost vs cemented (GBP)"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(inc_qalys[i, ], inc_costs[i, 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(colours[i],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(inc_costs),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colours,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Cost-effectiveness plane: incremental costs and QALYs versus the cemented implant, one point per probabilistic sample. The dashed line is the GBP 20,000 per QALY threshold." title="" id="29" name="Picture"/>
            <a:graphic>
              <a:graphicData uri="http://schemas.openxmlformats.org/drawingml/2006/picture">
                <pic:pic>
                  <pic:nvPicPr>
                    <pic:cNvPr descr="hips_model_files/figure-docx/ce-plan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Cost-effectiveness plane: incremental costs and QALYs versus the cemented implant, one point per probabilistic sample. The dashed line is the GBP 20,000 per QALY threshold.</w:t>
      </w:r>
    </w:p>
    <w:p>
      <w:pPr>
        <w:pStyle w:val="BodyText"/>
      </w:pPr>
      <w:r>
        <w:t xml:space="preserve">The cost-effectiveness acceptability curve gives the probability that</w:t>
      </w:r>
      <w:r>
        <w:t xml:space="preserve"> </w:t>
      </w:r>
      <w:r>
        <w:t xml:space="preserve">each implant has the highest net benefit across a range of thresholds:</w:t>
      </w:r>
    </w:p>
    <w:p>
      <w:pPr>
        <w:pStyle w:val="SourceCode"/>
      </w:pPr>
      <w:r>
        <w:rPr>
          <w:rStyle w:val="NormalTok"/>
        </w:rPr>
        <w:t xml:space="preserve">thresholds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ceac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(thresholds,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(wtp) {</w:t>
      </w:r>
      <w:r>
        <w:br/>
      </w:r>
      <w:r>
        <w:rPr>
          <w:rStyle w:val="NormalTok"/>
        </w:rPr>
        <w:t xml:space="preserve">  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total_qalys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wtp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</w:t>
      </w:r>
      <w:r>
        <w:br/>
      </w:r>
      <w:r>
        <w:rPr>
          <w:rStyle w:val="NormalTok"/>
        </w:rPr>
        <w:t xml:space="preserve">  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(nb,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which.max)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tabulate</w:t>
      </w:r>
      <w:r>
        <w:rPr>
          <w:rStyle w:val="NormalTok"/>
        </w:rPr>
        <w:t xml:space="preserve">(best, </w:t>
      </w:r>
      <w:r>
        <w:rPr>
          <w:rStyle w:val="AttributeTok"/>
        </w:rPr>
        <w:t xml:space="preserve">nbins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implant_names))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n_samples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matplot</w:t>
      </w:r>
      <w:r>
        <w:rPr>
          <w:rStyle w:val="NormalTok"/>
        </w:rPr>
        <w:t xml:space="preserve">(thresholds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(ceac),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colours),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"Willingness to pay (GBP thousand per QALY)"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cost-effective"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implant_names,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colours),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Cost-effectiveness acceptability curves." title="" id="32" name="Picture"/>
            <a:graphic>
              <a:graphicData uri="http://schemas.openxmlformats.org/drawingml/2006/picture">
                <pic:pic>
                  <pic:nvPicPr>
                    <pic:cNvPr descr="hips_model_files/figure-docx/ceac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Cost-effectiveness acceptability curves.</w:t>
      </w:r>
    </w:p>
    <w:p>
      <w:pPr>
        <w:pStyle w:val="BodyText"/>
      </w:pPr>
      <w:r>
        <w:t xml:space="preserve">The same results can be passed to the BCEA package for a fuller</w:t>
      </w:r>
      <w:r>
        <w:t xml:space="preserve"> </w:t>
      </w:r>
      <w:r>
        <w:t xml:space="preserve">analysis, including the expected value of perfect information: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(BCEA)</w:t>
      </w:r>
      <w:r>
        <w:br/>
      </w:r>
      <w:r>
        <w:rPr>
          <w:rStyle w:val="NormalTok"/>
        </w:rPr>
        <w:t xml:space="preserve">hips_bcea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total_qalys),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(model_output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interventions =</w:t>
      </w:r>
      <w:r>
        <w:rPr>
          <w:rStyle w:val="NormalTok"/>
        </w:rPr>
        <w:t xml:space="preserve"> model_settings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implant_names, </w:t>
      </w:r>
      <w:r>
        <w:rPr>
          <w:rStyle w:val="AttributeTok"/>
        </w:rPr>
        <w:t xml:space="preserve">Kmax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(hips_bcea)</w:t>
      </w:r>
      <w:r>
        <w:br/>
      </w:r>
      <w:r>
        <w:rPr>
          <w:rStyle w:val="FunctionTok"/>
        </w:rPr>
        <w:t xml:space="preserve">ceplane.plot</w:t>
      </w:r>
      <w:r>
        <w:rPr>
          <w:rStyle w:val="NormalTok"/>
        </w:rPr>
        <w:t xml:space="preserve">(hips_bcea)</w:t>
      </w:r>
      <w:r>
        <w:br/>
      </w:r>
      <w:r>
        <w:rPr>
          <w:rStyle w:val="FunctionTok"/>
        </w:rPr>
        <w:t xml:space="preserve">ceac.plot</w:t>
      </w:r>
      <w:r>
        <w:rPr>
          <w:rStyle w:val="NormalTok"/>
        </w:rPr>
        <w:t xml:space="preserve">(hips_bcea)</w:t>
      </w:r>
      <w:r>
        <w:br/>
      </w:r>
      <w:r>
        <w:rPr>
          <w:rStyle w:val="FunctionTok"/>
        </w:rPr>
        <w:t xml:space="preserve">evi.plot</w:t>
      </w:r>
      <w:r>
        <w:rPr>
          <w:rStyle w:val="NormalTok"/>
        </w:rPr>
        <w:t xml:space="preserve">(hips_bcea)</w:t>
      </w:r>
    </w:p>
    <w:bookmarkEnd w:id="34"/>
    <w:bookmarkStart w:id="35" w:name="reading-the-results"/>
    <w:p>
      <w:pPr>
        <w:pStyle w:val="Heading2"/>
      </w:pPr>
      <w:r>
        <w:t xml:space="preserve">Reading the results</w:t>
      </w:r>
    </w:p>
    <w:p>
      <w:pPr>
        <w:pStyle w:val="FirstParagraph"/>
      </w:pPr>
      <w:r>
        <w:t xml:space="preserve">The cemented implant is the cheapest and the uncemented the most</w:t>
      </w:r>
      <w:r>
        <w:t xml:space="preserve"> </w:t>
      </w:r>
      <w:r>
        <w:t xml:space="preserve">effective, but the QALY differences between implants are small (a few</w:t>
      </w:r>
      <w:r>
        <w:t xml:space="preserve"> </w:t>
      </w:r>
      <w:r>
        <w:t xml:space="preserve">hundredths of a QALY over a lifetime) while the cost differences run to</w:t>
      </w:r>
      <w:r>
        <w:t xml:space="preserve"> </w:t>
      </w:r>
      <w:r>
        <w:t xml:space="preserve">over GBP 1,000, driven mainly by the price of the primary implant. At</w:t>
      </w:r>
      <w:r>
        <w:t xml:space="preserve"> </w:t>
      </w:r>
      <w:r>
        <w:t xml:space="preserve">GBP 20,000 per QALY the cemented implant has the highest expected net</w:t>
      </w:r>
      <w:r>
        <w:t xml:space="preserve"> </w:t>
      </w:r>
      <w:r>
        <w:t xml:space="preserve">benefit and is almost certain to be the cost-effective choice. The</w:t>
      </w:r>
      <w:r>
        <w:t xml:space="preserve"> </w:t>
      </w:r>
      <w:r>
        <w:t xml:space="preserve">acceptability curves show that this depends on the threshold: above</w:t>
      </w:r>
      <w:r>
        <w:t xml:space="preserve"> </w:t>
      </w:r>
      <w:r>
        <w:t xml:space="preserve">about GBP 28,000 per QALY the hybrid implant becomes the most likely to</w:t>
      </w:r>
      <w:r>
        <w:t xml:space="preserve"> </w:t>
      </w:r>
      <w:r>
        <w:t xml:space="preserve">be cost-effective, and above about GBP 42,000 the uncemented implant</w:t>
      </w:r>
      <w:r>
        <w:t xml:space="preserve"> </w:t>
      </w:r>
      <w:r>
        <w:t xml:space="preserve">does. This matches the finding of the full model by Fawsitt et al. that</w:t>
      </w:r>
      <w:r>
        <w:t xml:space="preserve"> </w:t>
      </w:r>
      <w:r>
        <w:t xml:space="preserve">cemented metal-on-polyethylene implants were the most cost-effective</w:t>
      </w:r>
      <w:r>
        <w:t xml:space="preserve"> </w:t>
      </w:r>
      <w:r>
        <w:t xml:space="preserve">option for this age group.</w:t>
      </w:r>
    </w:p>
    <w:p>
      <w:pPr>
        <w:pStyle w:val="BodyText"/>
      </w:pPr>
      <w:r>
        <w:t xml:space="preserve">Because the probabilistic samples are drawn with a fixed seed,</w:t>
      </w:r>
      <w:r>
        <w:t xml:space="preserve"> </w:t>
      </w:r>
      <w:r>
        <w:t xml:space="preserve">re-running this vignette reproduces these numbers exactly. Changing</w:t>
      </w:r>
      <w:r>
        <w:t xml:space="preserve"> </w:t>
      </w:r>
      <w:r>
        <w:rPr>
          <w:rStyle w:val="VerbatimChar"/>
        </w:rPr>
        <w:t xml:space="preserve">n_samples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model_settings</w:t>
      </w:r>
      <w:r>
        <w:t xml:space="preserve"> </w:t>
      </w:r>
      <w:r>
        <w:t xml:space="preserve">will change them slightly; increasing it</w:t>
      </w:r>
      <w:r>
        <w:t xml:space="preserve"> </w:t>
      </w:r>
      <w:r>
        <w:t xml:space="preserve">narrows the Monte Carlo error of the means.</w:t>
      </w:r>
    </w:p>
    <w:bookmarkEnd w:id="35"/>
    <w:bookmarkStart w:id="36" w:name="going-further"/>
    <w:p>
      <w:pPr>
        <w:pStyle w:val="Heading2"/>
      </w:pPr>
      <w:r>
        <w:t xml:space="preserve">Going further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generate_net_benefit()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argument. The default runs</w:t>
      </w:r>
      <w:r>
        <w:t xml:space="preserve"> </w:t>
      </w:r>
      <w:r>
        <w:t xml:space="preserve">the original nested loops;</w:t>
      </w:r>
      <w:r>
        <w:t xml:space="preserve"> </w:t>
      </w:r>
      <w:r>
        <w:rPr>
          <w:rStyle w:val="VerbatimChar"/>
        </w:rPr>
        <w:t xml:space="preserve">method = "vectorised"</w:t>
      </w:r>
      <w:r>
        <w:t xml:space="preserve"> </w:t>
      </w:r>
      <w:r>
        <w:t xml:space="preserve">gives the same</w:t>
      </w:r>
      <w:r>
        <w:t xml:space="preserve"> </w:t>
      </w:r>
      <w:r>
        <w:t xml:space="preserve">results several times faster and is the version to use for large</w:t>
      </w:r>
      <w:r>
        <w:t xml:space="preserve"> </w:t>
      </w:r>
      <w:r>
        <w:t xml:space="preserve">probabilistic or value-of-information analyses.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optimisation/time_comparisons.R</w:t>
      </w:r>
      <w:r>
        <w:t xml:space="preserve"> </w:t>
      </w:r>
      <w:r>
        <w:t xml:space="preserve">benchmarks all the optimisation</w:t>
      </w:r>
      <w:r>
        <w:t xml:space="preserve"> </w:t>
      </w:r>
      <w:r>
        <w:t xml:space="preserve">methods described in the tutorial.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?generate_input_parameters</w:t>
      </w:r>
      <w:r>
        <w:t xml:space="preserve"> </w:t>
      </w:r>
      <w:r>
        <w:t xml:space="preserve">and the other help pages document each</w:t>
      </w:r>
      <w:r>
        <w:t xml:space="preserve"> </w:t>
      </w:r>
      <w:r>
        <w:t xml:space="preserve">function’s arguments and return values.</w: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Fawsitt CG, Thom HHZ, Hunt LP, et al. Choice of prosthetic implant</w:t>
      </w:r>
      <w:r>
        <w:t xml:space="preserve"> </w:t>
      </w:r>
      <w:r>
        <w:t xml:space="preserve">combinations in total hip replacement: cost-effectiveness analysis using</w:t>
      </w:r>
      <w:r>
        <w:t xml:space="preserve"> </w:t>
      </w:r>
      <w:r>
        <w:t xml:space="preserve">UK and Swedish hip joint registries data.</w:t>
      </w:r>
      <w:r>
        <w:t xml:space="preserve"> </w:t>
      </w:r>
      <w:r>
        <w:rPr>
          <w:i/>
          <w:iCs/>
        </w:rPr>
        <w:t xml:space="preserve">Value in Health</w:t>
      </w:r>
      <w:r>
        <w:t xml:space="preserve"> </w:t>
      </w:r>
      <w:r>
        <w:t xml:space="preserve">2019;22(3):303-12.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hip replacement model: a user guide</dc:title>
  <dc:creator>Qian Xin and Howard Thom</dc:creator>
  <cp:keywords/>
  <dcterms:created xsi:type="dcterms:W3CDTF">2026-10-28T11:23:37Z</dcterms:created>
  <dcterms:modified xsi:type="dcterms:W3CDTF">2026-10-28T11:23:37Z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2026-10-28</vt:lpwstr>
  </property>
  <property fmtid="{D5CDD505-2E9C-101B-9397-08002B2CF9AE}" pid="3" name="editor_options">
    <vt:lpwstr/>
  </property>
  <property fmtid="{D5CDD505-2E9C-101B-9397-08002B2CF9AE}" pid="4" name="output">
    <vt:lpwstr>html_document</vt:lpwstr>
  </property>
</Properties>
</file>