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52FA" w14:textId="77777777"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a3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1"/>
        <w:ind w:right="49" w:firstLine="0"/>
        <w:jc w:val="center"/>
      </w:pPr>
    </w:p>
    <w:p w14:paraId="441E4A8E" w14:textId="77777777"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a3"/>
        <w:rPr>
          <w:sz w:val="30"/>
        </w:rPr>
      </w:pPr>
    </w:p>
    <w:p w14:paraId="1E7E86F0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a3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A0585C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a7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A0585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a7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A0585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a7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A0585C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a7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A0585C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a7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A0585C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a7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A0585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a7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A0585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a7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A0585C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a7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</w:t>
      </w:r>
      <w:proofErr w:type="spellStart"/>
      <w:r w:rsidRPr="006A6E7B">
        <w:rPr>
          <w:rFonts w:cs="Times New Roman"/>
          <w:szCs w:val="28"/>
        </w:rPr>
        <w:t>таблице</w:t>
      </w:r>
      <w:proofErr w:type="spellEnd"/>
      <w:r w:rsidRPr="006A6E7B">
        <w:rPr>
          <w:rFonts w:cs="Times New Roman"/>
          <w:szCs w:val="28"/>
        </w:rPr>
        <w:t xml:space="preserve">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proofErr w:type="spellStart"/>
      <w:r w:rsidRPr="009103E5">
        <w:rPr>
          <w:color w:val="000000" w:themeColor="text1"/>
        </w:rPr>
        <w:t>Таблица</w:t>
      </w:r>
      <w:proofErr w:type="spellEnd"/>
      <w:r w:rsidRPr="009103E5">
        <w:rPr>
          <w:color w:val="000000" w:themeColor="text1"/>
        </w:rPr>
        <w:t xml:space="preserve">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745B76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745B76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745B76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proofErr w:type="spellStart"/>
      <w:r w:rsidRPr="009F4D00">
        <w:rPr>
          <w:rFonts w:cs="Times New Roman"/>
          <w:szCs w:val="24"/>
        </w:rPr>
        <w:lastRenderedPageBreak/>
        <w:t>Продолжение</w:t>
      </w:r>
      <w:proofErr w:type="spellEnd"/>
      <w:r w:rsidRPr="009F4D00">
        <w:rPr>
          <w:rFonts w:cs="Times New Roman"/>
          <w:szCs w:val="24"/>
        </w:rPr>
        <w:t xml:space="preserve"> </w:t>
      </w:r>
      <w:proofErr w:type="spellStart"/>
      <w:r w:rsidRPr="009F4D00">
        <w:rPr>
          <w:rFonts w:cs="Times New Roman"/>
          <w:szCs w:val="24"/>
        </w:rPr>
        <w:t>таблицы</w:t>
      </w:r>
      <w:proofErr w:type="spellEnd"/>
      <w:r w:rsidRPr="009F4D00">
        <w:rPr>
          <w:rFonts w:cs="Times New Roman"/>
          <w:szCs w:val="24"/>
        </w:rPr>
        <w:t xml:space="preserve">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745B76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745B76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745B76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a"/>
        <w:ind w:left="0"/>
        <w:rPr>
          <w:lang w:val="ru-RU"/>
        </w:rPr>
      </w:pPr>
      <w:proofErr w:type="spellStart"/>
      <w:r>
        <w:t>Таблица</w:t>
      </w:r>
      <w:proofErr w:type="spellEnd"/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745B76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472ED057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745B76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1E7DD5AF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14:paraId="01DB557C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745B76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745B76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745B76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 xml:space="preserve">интерактивное лабораторное моделирование для </w:t>
      </w:r>
      <w:proofErr w:type="spellStart"/>
      <w:r w:rsidRPr="00F6617B">
        <w:rPr>
          <w:szCs w:val="28"/>
          <w:lang w:val="ru-RU"/>
        </w:rPr>
        <w:t>Windows</w:t>
      </w:r>
      <w:proofErr w:type="spellEnd"/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6C6D8D9"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</w:t>
      </w:r>
      <w:r w:rsidR="001A0B23" w:rsidRPr="001A0B23">
        <w:rPr>
          <w:szCs w:val="28"/>
          <w:lang w:val="ru-RU"/>
        </w:rPr>
        <w:t xml:space="preserve"> [3]</w:t>
      </w:r>
      <w:r w:rsidRPr="00B23A27">
        <w:rPr>
          <w:szCs w:val="28"/>
          <w:lang w:val="ru-RU"/>
        </w:rPr>
        <w:t xml:space="preserve">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proofErr w:type="spellStart"/>
      <w:r>
        <w:rPr>
          <w:szCs w:val="28"/>
        </w:rPr>
        <w:t>диаметр</w:t>
      </w:r>
      <w:proofErr w:type="spellEnd"/>
      <w:r w:rsidRPr="001072C0"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горла</w:t>
      </w:r>
      <w:proofErr w:type="spellEnd"/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14:paraId="4C956C1D" w14:textId="77777777"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0DD3396E" w:rsidR="00D96EAB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>ейсов и взаимосвязей между ними</w:t>
      </w:r>
      <w:r w:rsidR="001A0B23" w:rsidRPr="001A0B23">
        <w:rPr>
          <w:rFonts w:cs="Times New Roman"/>
          <w:szCs w:val="28"/>
          <w:lang w:val="ru-RU"/>
        </w:rPr>
        <w:t xml:space="preserve"> </w:t>
      </w:r>
      <w:r w:rsidRPr="00A356C1">
        <w:rPr>
          <w:rFonts w:cs="Times New Roman"/>
          <w:szCs w:val="28"/>
          <w:lang w:val="ru-RU"/>
        </w:rPr>
        <w:t>[</w:t>
      </w:r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>диаграмма разрабатываемого плагина изображена на рисунке 3.1</w:t>
      </w:r>
    </w:p>
    <w:p w14:paraId="7B4EDA05" w14:textId="1EA5BEE4" w:rsidR="006D6899" w:rsidRDefault="006D6899" w:rsidP="006D6899">
      <w:pPr>
        <w:spacing w:after="0"/>
        <w:ind w:firstLine="0"/>
        <w:rPr>
          <w:rFonts w:cs="Times New Roman"/>
          <w:szCs w:val="28"/>
          <w:lang w:val="ru-RU"/>
        </w:rPr>
      </w:pPr>
      <w:bookmarkStart w:id="9" w:name="_GoBack"/>
      <w:r>
        <w:rPr>
          <w:noProof/>
        </w:rPr>
        <w:drawing>
          <wp:inline distT="0" distB="0" distL="0" distR="0" wp14:anchorId="579900ED" wp14:editId="0CC37356">
            <wp:extent cx="6332220" cy="3803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EFD84C9" w14:textId="54EE58C8" w:rsidR="00745B76" w:rsidRPr="00197836" w:rsidRDefault="00745B76" w:rsidP="00745B76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10B4391B" w14:textId="058B5650" w:rsidR="003A3BFE" w:rsidRDefault="00CF36D8" w:rsidP="00F167C0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Style w:val="af0"/>
        </w:rPr>
        <w:commentReference w:id="10"/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 xml:space="preserve">и </w:t>
      </w:r>
      <w:r w:rsidR="00F3095A">
        <w:rPr>
          <w:rFonts w:cs="Times New Roman"/>
          <w:szCs w:val="28"/>
          <w:lang w:val="ru-RU"/>
        </w:rPr>
        <w:lastRenderedPageBreak/>
        <w:t>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1" w:name="_Toc87628093"/>
      <w:r>
        <w:rPr>
          <w:lang w:val="ru-RU"/>
        </w:rPr>
        <w:t>3.2 Макет интерфейса</w:t>
      </w:r>
      <w:bookmarkEnd w:id="11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2" w:name="_Toc87628094"/>
      <w:r>
        <w:lastRenderedPageBreak/>
        <w:t>Список литературы</w:t>
      </w:r>
      <w:bookmarkEnd w:id="12"/>
    </w:p>
    <w:p w14:paraId="3146D701" w14:textId="77777777"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r w:rsidRPr="00F52478">
        <w:rPr>
          <w:szCs w:val="28"/>
          <w:lang w:val="en-US"/>
        </w:rPr>
        <w:t>ChemLab</w:t>
      </w:r>
      <w:proofErr w:type="spellEnd"/>
      <w:r w:rsidR="00994063" w:rsidRPr="009C175F">
        <w:rPr>
          <w:szCs w:val="28"/>
        </w:rPr>
        <w:t>.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48DAF0CE" w14:textId="50C85D19" w:rsidR="0095486D" w:rsidRPr="00CF36D8" w:rsidRDefault="00102F94" w:rsidP="004D47D2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CF36D8">
        <w:rPr>
          <w:szCs w:val="28"/>
          <w:lang w:val="ru-RU"/>
        </w:rPr>
        <w:t>UML. [Электронный ресурс]. – Режим доступа: http://www.uml.org/ (дата обращения 20.10.2021)</w:t>
      </w:r>
      <w:r w:rsidR="00CF36D8">
        <w:rPr>
          <w:szCs w:val="28"/>
          <w:lang w:val="ru-RU"/>
        </w:rPr>
        <w:t>.</w:t>
      </w:r>
    </w:p>
    <w:sectPr w:rsidR="0095486D" w:rsidRPr="00CF36D8" w:rsidSect="00CB738C">
      <w:headerReference w:type="default" r:id="rId26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AK" w:date="2021-11-15T17:22:00Z" w:initials="A">
    <w:p w14:paraId="1C39BF6C" w14:textId="53FAE079" w:rsidR="00CF36D8" w:rsidRPr="00CF36D8" w:rsidRDefault="00CF36D8">
      <w:pPr>
        <w:pStyle w:val="af1"/>
        <w:rPr>
          <w:lang w:val="ru-RU"/>
        </w:rPr>
      </w:pPr>
      <w:r>
        <w:rPr>
          <w:rStyle w:val="af0"/>
        </w:rPr>
        <w:annotationRef/>
      </w:r>
      <w:r>
        <w:t xml:space="preserve">Builder – </w:t>
      </w:r>
      <w:r>
        <w:rPr>
          <w:lang w:val="ru-RU"/>
        </w:rPr>
        <w:t>публичные методы?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39B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5BA" w16cex:dateUtc="2021-11-15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9BF6C" w16cid:durableId="253D15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5E56C" w14:textId="77777777" w:rsidR="00A0585C" w:rsidRDefault="00A0585C" w:rsidP="00CB738C">
      <w:pPr>
        <w:spacing w:after="0" w:line="240" w:lineRule="auto"/>
      </w:pPr>
      <w:r>
        <w:separator/>
      </w:r>
    </w:p>
  </w:endnote>
  <w:endnote w:type="continuationSeparator" w:id="0">
    <w:p w14:paraId="670EFBBD" w14:textId="77777777" w:rsidR="00A0585C" w:rsidRDefault="00A0585C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D0588" w14:textId="77777777" w:rsidR="00A0585C" w:rsidRDefault="00A0585C" w:rsidP="00CB738C">
      <w:pPr>
        <w:spacing w:after="0" w:line="240" w:lineRule="auto"/>
      </w:pPr>
      <w:r>
        <w:separator/>
      </w:r>
    </w:p>
  </w:footnote>
  <w:footnote w:type="continuationSeparator" w:id="0">
    <w:p w14:paraId="61DA6473" w14:textId="77777777" w:rsidR="00A0585C" w:rsidRDefault="00A0585C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7441D008"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899" w:rsidRPr="006D6899">
          <w:rPr>
            <w:noProof/>
            <w:lang w:val="ru-RU"/>
          </w:rPr>
          <w:t>11</w:t>
        </w:r>
        <w:r>
          <w:fldChar w:fldCharType="end"/>
        </w:r>
      </w:p>
    </w:sdtContent>
  </w:sdt>
  <w:p w14:paraId="1F91194E" w14:textId="77777777"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002689"/>
    <w:rsid w:val="00102F94"/>
    <w:rsid w:val="00144A26"/>
    <w:rsid w:val="00197836"/>
    <w:rsid w:val="001A0B23"/>
    <w:rsid w:val="00364335"/>
    <w:rsid w:val="003A3BFE"/>
    <w:rsid w:val="003C3E3D"/>
    <w:rsid w:val="00403AB4"/>
    <w:rsid w:val="0042302D"/>
    <w:rsid w:val="004324D8"/>
    <w:rsid w:val="005224E0"/>
    <w:rsid w:val="00544499"/>
    <w:rsid w:val="006A7E0F"/>
    <w:rsid w:val="006D6899"/>
    <w:rsid w:val="00745B76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E22C7"/>
    <w:rsid w:val="009F4D00"/>
    <w:rsid w:val="009F6018"/>
    <w:rsid w:val="00A0585C"/>
    <w:rsid w:val="00A10BD7"/>
    <w:rsid w:val="00A360B5"/>
    <w:rsid w:val="00A85F94"/>
    <w:rsid w:val="00AC7EFC"/>
    <w:rsid w:val="00AD226F"/>
    <w:rsid w:val="00B166F4"/>
    <w:rsid w:val="00B23A27"/>
    <w:rsid w:val="00BD19D7"/>
    <w:rsid w:val="00C07B78"/>
    <w:rsid w:val="00C14470"/>
    <w:rsid w:val="00C652E0"/>
    <w:rsid w:val="00C92EAD"/>
    <w:rsid w:val="00CB738C"/>
    <w:rsid w:val="00CF36D8"/>
    <w:rsid w:val="00D0087D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167C0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D923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23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microsoft.com/office/2011/relationships/commentsExtended" Target="commentsExtended.xml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40FC-DBB9-499F-B4FE-9D0A5BEE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1756</Words>
  <Characters>10012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4</cp:revision>
  <dcterms:created xsi:type="dcterms:W3CDTF">2021-11-15T10:48:00Z</dcterms:created>
  <dcterms:modified xsi:type="dcterms:W3CDTF">2021-11-15T10:48:00Z</dcterms:modified>
</cp:coreProperties>
</file>